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E87D" w14:textId="5D1FF4BD" w:rsidR="00DD0B8D" w:rsidRDefault="00DD0B8D">
      <w:pPr>
        <w:spacing w:after="192" w:line="259" w:lineRule="auto"/>
        <w:ind w:right="12" w:firstLine="0"/>
        <w:jc w:val="center"/>
      </w:pPr>
    </w:p>
    <w:p w14:paraId="2DFCD3A6" w14:textId="57504ABD" w:rsidR="004B3E2B" w:rsidRDefault="004B3E2B">
      <w:pPr>
        <w:spacing w:after="192" w:line="259" w:lineRule="auto"/>
        <w:ind w:right="12" w:firstLine="0"/>
        <w:jc w:val="center"/>
      </w:pPr>
    </w:p>
    <w:p w14:paraId="3E5020C8" w14:textId="2306769E" w:rsidR="004B3E2B" w:rsidRDefault="004B3E2B">
      <w:pPr>
        <w:spacing w:after="192" w:line="259" w:lineRule="auto"/>
        <w:ind w:right="12" w:firstLine="0"/>
        <w:jc w:val="center"/>
      </w:pPr>
    </w:p>
    <w:p w14:paraId="445CBF0E" w14:textId="35DF8928" w:rsidR="00DD0B8D" w:rsidRDefault="00DD0B8D">
      <w:pPr>
        <w:spacing w:after="0"/>
        <w:ind w:left="-15" w:right="58"/>
      </w:pPr>
    </w:p>
    <w:p w14:paraId="351A5EB1" w14:textId="77777777" w:rsidR="00DD0B8D" w:rsidRDefault="00D47DEA">
      <w:pPr>
        <w:spacing w:after="20" w:line="259" w:lineRule="auto"/>
        <w:ind w:left="10" w:right="54" w:hanging="10"/>
        <w:jc w:val="right"/>
      </w:pPr>
      <w:r>
        <w:rPr>
          <w:b/>
        </w:rPr>
        <w:t xml:space="preserve">Приложение №1 к Стандарту Фонда </w:t>
      </w:r>
    </w:p>
    <w:p w14:paraId="4FAF87A3" w14:textId="77777777" w:rsidR="00DD0B8D" w:rsidRDefault="00D47DEA">
      <w:pPr>
        <w:spacing w:after="49" w:line="268" w:lineRule="auto"/>
        <w:ind w:left="5108" w:right="0" w:firstLine="605"/>
        <w:jc w:val="left"/>
      </w:pPr>
      <w:r>
        <w:rPr>
          <w:b/>
        </w:rPr>
        <w:t xml:space="preserve">"Порядок обеспечения возврата займов, предоставленных в качестве </w:t>
      </w:r>
    </w:p>
    <w:p w14:paraId="1BF3622A" w14:textId="77777777" w:rsidR="00DD0B8D" w:rsidRDefault="00D47DEA">
      <w:pPr>
        <w:spacing w:after="64" w:line="259" w:lineRule="auto"/>
        <w:ind w:left="10" w:right="54" w:hanging="10"/>
        <w:jc w:val="right"/>
      </w:pPr>
      <w:r>
        <w:rPr>
          <w:b/>
        </w:rPr>
        <w:t>финансирования проектов"</w:t>
      </w:r>
      <w:r>
        <w:t xml:space="preserve"> </w:t>
      </w:r>
    </w:p>
    <w:p w14:paraId="6309B8F3" w14:textId="77777777" w:rsidR="00DD0B8D" w:rsidRDefault="00D47DEA">
      <w:pPr>
        <w:spacing w:after="112" w:line="259" w:lineRule="auto"/>
        <w:ind w:right="22" w:firstLine="0"/>
        <w:jc w:val="center"/>
      </w:pPr>
      <w:r>
        <w:rPr>
          <w:sz w:val="16"/>
        </w:rPr>
        <w:t xml:space="preserve"> </w:t>
      </w:r>
    </w:p>
    <w:p w14:paraId="5940CDA4" w14:textId="77777777" w:rsidR="00B216DD" w:rsidRDefault="00D47DEA" w:rsidP="00B216DD">
      <w:pPr>
        <w:spacing w:after="0" w:line="302" w:lineRule="auto"/>
        <w:ind w:right="62" w:firstLine="709"/>
        <w:jc w:val="center"/>
        <w:rPr>
          <w:b/>
        </w:rPr>
      </w:pPr>
      <w:r w:rsidRPr="00B216DD">
        <w:rPr>
          <w:b/>
        </w:rPr>
        <w:t xml:space="preserve">Виды и требования к Основному обеспечению,  </w:t>
      </w:r>
    </w:p>
    <w:p w14:paraId="08AA2179" w14:textId="7BD5EF0D" w:rsidR="00DD0B8D" w:rsidRPr="00B216DD" w:rsidRDefault="00D47DEA" w:rsidP="00B216DD">
      <w:pPr>
        <w:spacing w:after="0" w:line="302" w:lineRule="auto"/>
        <w:ind w:right="62" w:firstLine="709"/>
        <w:jc w:val="center"/>
        <w:rPr>
          <w:b/>
        </w:rPr>
      </w:pPr>
      <w:r w:rsidRPr="00B216DD">
        <w:rPr>
          <w:b/>
        </w:rPr>
        <w:t>принимаемо</w:t>
      </w:r>
      <w:r w:rsidR="00B216DD">
        <w:rPr>
          <w:b/>
        </w:rPr>
        <w:t>му</w:t>
      </w:r>
      <w:r w:rsidRPr="00B216DD">
        <w:rPr>
          <w:b/>
        </w:rPr>
        <w:t xml:space="preserve"> Фондом развития промышленности Тульской облас</w:t>
      </w:r>
      <w:r w:rsidR="00B216DD" w:rsidRPr="00B216DD">
        <w:rPr>
          <w:b/>
        </w:rPr>
        <w:t>ти при финансировании проектов</w:t>
      </w:r>
    </w:p>
    <w:p w14:paraId="67701E5B" w14:textId="77777777" w:rsidR="00B216DD" w:rsidRDefault="00B216DD">
      <w:pPr>
        <w:spacing w:after="0" w:line="259" w:lineRule="auto"/>
        <w:ind w:left="567" w:right="0" w:firstLine="0"/>
        <w:jc w:val="center"/>
        <w:rPr>
          <w:b/>
        </w:rPr>
      </w:pPr>
    </w:p>
    <w:tbl>
      <w:tblPr>
        <w:tblStyle w:val="TableGrid"/>
        <w:tblW w:w="9630" w:type="dxa"/>
        <w:tblInd w:w="5" w:type="dxa"/>
        <w:tblCellMar>
          <w:top w:w="45" w:type="dxa"/>
          <w:left w:w="5" w:type="dxa"/>
          <w:right w:w="75" w:type="dxa"/>
        </w:tblCellMar>
        <w:tblLook w:val="04A0" w:firstRow="1" w:lastRow="0" w:firstColumn="1" w:lastColumn="0" w:noHBand="0" w:noVBand="1"/>
      </w:tblPr>
      <w:tblGrid>
        <w:gridCol w:w="538"/>
        <w:gridCol w:w="3233"/>
        <w:gridCol w:w="1752"/>
        <w:gridCol w:w="4107"/>
      </w:tblGrid>
      <w:tr w:rsidR="00B216DD" w14:paraId="652D25BA" w14:textId="77777777" w:rsidTr="00A57798">
        <w:trPr>
          <w:trHeight w:val="584"/>
        </w:trPr>
        <w:tc>
          <w:tcPr>
            <w:tcW w:w="538" w:type="dxa"/>
            <w:tcBorders>
              <w:top w:val="single" w:sz="4" w:space="0" w:color="000000"/>
              <w:left w:val="single" w:sz="4" w:space="0" w:color="000000"/>
              <w:bottom w:val="single" w:sz="4" w:space="0" w:color="000000"/>
              <w:right w:val="single" w:sz="4" w:space="0" w:color="000000"/>
            </w:tcBorders>
          </w:tcPr>
          <w:p w14:paraId="605F6220" w14:textId="77777777" w:rsidR="00B216DD" w:rsidRDefault="00B216DD" w:rsidP="00A57798">
            <w:pPr>
              <w:spacing w:after="0" w:line="259" w:lineRule="auto"/>
              <w:ind w:left="173" w:right="0" w:firstLine="0"/>
              <w:jc w:val="left"/>
            </w:pPr>
            <w:r>
              <w:rPr>
                <w:b/>
                <w:sz w:val="20"/>
              </w:rPr>
              <w:t xml:space="preserve">№ </w:t>
            </w:r>
          </w:p>
          <w:p w14:paraId="4644586A" w14:textId="77777777" w:rsidR="00B216DD" w:rsidRDefault="00B216DD" w:rsidP="00A57798">
            <w:pPr>
              <w:spacing w:after="0" w:line="259" w:lineRule="auto"/>
              <w:ind w:left="68" w:right="0" w:firstLine="0"/>
              <w:jc w:val="center"/>
            </w:pPr>
            <w:r>
              <w:rPr>
                <w:b/>
                <w:sz w:val="20"/>
              </w:rPr>
              <w:t xml:space="preserve">п/п </w:t>
            </w:r>
          </w:p>
        </w:tc>
        <w:tc>
          <w:tcPr>
            <w:tcW w:w="3233" w:type="dxa"/>
            <w:tcBorders>
              <w:top w:val="single" w:sz="4" w:space="0" w:color="000000"/>
              <w:left w:val="single" w:sz="4" w:space="0" w:color="000000"/>
              <w:bottom w:val="single" w:sz="4" w:space="0" w:color="000000"/>
              <w:right w:val="single" w:sz="4" w:space="0" w:color="000000"/>
            </w:tcBorders>
            <w:vAlign w:val="center"/>
          </w:tcPr>
          <w:p w14:paraId="4700BED6" w14:textId="77777777" w:rsidR="00B216DD" w:rsidRDefault="00B216DD" w:rsidP="00A57798">
            <w:pPr>
              <w:spacing w:after="0" w:line="259" w:lineRule="auto"/>
              <w:ind w:left="62" w:right="0" w:firstLine="0"/>
              <w:jc w:val="center"/>
            </w:pPr>
            <w:r>
              <w:rPr>
                <w:b/>
                <w:sz w:val="20"/>
              </w:rPr>
              <w:t xml:space="preserve">Вид обеспечения </w:t>
            </w:r>
          </w:p>
        </w:tc>
        <w:tc>
          <w:tcPr>
            <w:tcW w:w="1752" w:type="dxa"/>
            <w:tcBorders>
              <w:top w:val="single" w:sz="4" w:space="0" w:color="000000"/>
              <w:left w:val="single" w:sz="4" w:space="0" w:color="000000"/>
              <w:bottom w:val="single" w:sz="4" w:space="0" w:color="000000"/>
              <w:right w:val="single" w:sz="4" w:space="0" w:color="000000"/>
            </w:tcBorders>
            <w:vAlign w:val="center"/>
          </w:tcPr>
          <w:p w14:paraId="02A5F9E7" w14:textId="77777777" w:rsidR="00B216DD" w:rsidRDefault="00B216DD" w:rsidP="00A57798">
            <w:pPr>
              <w:spacing w:after="0" w:line="259" w:lineRule="auto"/>
              <w:ind w:left="66" w:right="0" w:firstLine="0"/>
              <w:jc w:val="center"/>
            </w:pPr>
            <w:r>
              <w:rPr>
                <w:b/>
                <w:sz w:val="20"/>
              </w:rPr>
              <w:t xml:space="preserve">Дисконт, в % </w:t>
            </w:r>
          </w:p>
        </w:tc>
        <w:tc>
          <w:tcPr>
            <w:tcW w:w="4107" w:type="dxa"/>
            <w:tcBorders>
              <w:top w:val="single" w:sz="4" w:space="0" w:color="000000"/>
              <w:left w:val="single" w:sz="4" w:space="0" w:color="000000"/>
              <w:bottom w:val="single" w:sz="4" w:space="0" w:color="000000"/>
              <w:right w:val="single" w:sz="4" w:space="0" w:color="000000"/>
            </w:tcBorders>
            <w:vAlign w:val="center"/>
          </w:tcPr>
          <w:p w14:paraId="3470C472" w14:textId="77777777" w:rsidR="00B216DD" w:rsidRDefault="00B216DD" w:rsidP="00A57798">
            <w:pPr>
              <w:spacing w:after="0" w:line="259" w:lineRule="auto"/>
              <w:ind w:left="61" w:right="0" w:firstLine="0"/>
              <w:jc w:val="center"/>
            </w:pPr>
            <w:r>
              <w:rPr>
                <w:b/>
                <w:sz w:val="20"/>
              </w:rPr>
              <w:t xml:space="preserve">Условия принятия обеспечения </w:t>
            </w:r>
          </w:p>
        </w:tc>
      </w:tr>
      <w:tr w:rsidR="00B216DD" w14:paraId="06F44AF9" w14:textId="77777777" w:rsidTr="00A57798">
        <w:trPr>
          <w:trHeight w:val="3684"/>
        </w:trPr>
        <w:tc>
          <w:tcPr>
            <w:tcW w:w="538" w:type="dxa"/>
            <w:tcBorders>
              <w:top w:val="single" w:sz="4" w:space="0" w:color="000000"/>
              <w:left w:val="single" w:sz="4" w:space="0" w:color="000000"/>
              <w:bottom w:val="single" w:sz="4" w:space="0" w:color="000000"/>
              <w:right w:val="single" w:sz="4" w:space="0" w:color="000000"/>
            </w:tcBorders>
          </w:tcPr>
          <w:p w14:paraId="100D3906" w14:textId="77777777" w:rsidR="00B216DD" w:rsidRDefault="00B216DD" w:rsidP="00A57798">
            <w:pPr>
              <w:spacing w:after="0" w:line="259" w:lineRule="auto"/>
              <w:ind w:left="67" w:right="0" w:firstLine="0"/>
              <w:jc w:val="center"/>
            </w:pPr>
            <w:r>
              <w:rPr>
                <w:b/>
                <w:sz w:val="20"/>
              </w:rPr>
              <w:t xml:space="preserve">I </w:t>
            </w:r>
          </w:p>
        </w:tc>
        <w:tc>
          <w:tcPr>
            <w:tcW w:w="3233" w:type="dxa"/>
            <w:tcBorders>
              <w:top w:val="single" w:sz="4" w:space="0" w:color="000000"/>
              <w:left w:val="single" w:sz="4" w:space="0" w:color="000000"/>
              <w:bottom w:val="single" w:sz="4" w:space="0" w:color="000000"/>
              <w:right w:val="single" w:sz="4" w:space="0" w:color="000000"/>
            </w:tcBorders>
          </w:tcPr>
          <w:p w14:paraId="66515699" w14:textId="77777777" w:rsidR="00B216DD" w:rsidRDefault="00B216DD" w:rsidP="00A57798">
            <w:pPr>
              <w:spacing w:after="0" w:line="259" w:lineRule="auto"/>
              <w:ind w:left="113" w:right="47" w:firstLine="0"/>
            </w:pPr>
            <w:r>
              <w:rPr>
                <w:b/>
                <w:sz w:val="20"/>
              </w:rPr>
              <w:t>Независимые гарантии</w:t>
            </w:r>
            <w:r>
              <w:rPr>
                <w:sz w:val="20"/>
              </w:rPr>
              <w:t xml:space="preserve"> </w:t>
            </w:r>
            <w:r>
              <w:rPr>
                <w:b/>
                <w:sz w:val="20"/>
              </w:rPr>
              <w:t>кредитных организаций,</w:t>
            </w:r>
            <w:r>
              <w:rPr>
                <w:sz w:val="20"/>
              </w:rPr>
              <w:t xml:space="preserve"> соответствующих критериям оценки устойчивости финансового положения, устанавливаемым Наблюдательным советом Фонда </w:t>
            </w:r>
            <w:r>
              <w:rPr>
                <w:rFonts w:ascii="Calibri" w:eastAsia="Calibri" w:hAnsi="Calibri" w:cs="Calibri"/>
                <w:sz w:val="20"/>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597406FE" w14:textId="77777777" w:rsidR="00B216DD" w:rsidRDefault="00B216DD" w:rsidP="00A57798">
            <w:pPr>
              <w:spacing w:after="0" w:line="259" w:lineRule="auto"/>
              <w:ind w:left="66" w:right="0" w:firstLine="0"/>
              <w:jc w:val="center"/>
            </w:pPr>
            <w:r>
              <w:rPr>
                <w:b/>
                <w:sz w:val="20"/>
              </w:rPr>
              <w:t xml:space="preserve">0% </w:t>
            </w:r>
          </w:p>
        </w:tc>
        <w:tc>
          <w:tcPr>
            <w:tcW w:w="4107" w:type="dxa"/>
            <w:tcBorders>
              <w:top w:val="single" w:sz="4" w:space="0" w:color="000000"/>
              <w:left w:val="single" w:sz="4" w:space="0" w:color="000000"/>
              <w:bottom w:val="single" w:sz="4" w:space="0" w:color="000000"/>
              <w:right w:val="single" w:sz="4" w:space="0" w:color="000000"/>
            </w:tcBorders>
          </w:tcPr>
          <w:p w14:paraId="533D2F31" w14:textId="7ECC8B0C" w:rsidR="00B216DD" w:rsidRDefault="00B216DD" w:rsidP="00A57798">
            <w:pPr>
              <w:spacing w:after="1" w:line="240" w:lineRule="auto"/>
              <w:ind w:left="113" w:right="49" w:firstLine="0"/>
            </w:pPr>
            <w:r>
              <w:rPr>
                <w:sz w:val="20"/>
              </w:rPr>
              <w:t xml:space="preserve">Независимая гарантия кредитной организации должна отвечать условиям: безотзывная, обязательства гаранта могут быть уменьшены на любую сумму, списанную бенефициаром по гарантии. Срок действия гарантии должен превышать срок обязательства по возврату займа на 1 месяц. В случае, если условиями договора займа предусмотрена последующая замена гарантии на иное обеспечение, то срок действия гарантии должен превышать срок, установленный для оформления иного обеспечения, не менее, чем на 6 месяцев. </w:t>
            </w:r>
          </w:p>
          <w:p w14:paraId="6D483A5F" w14:textId="77777777" w:rsidR="00B216DD" w:rsidRDefault="00B216DD" w:rsidP="00A57798">
            <w:pPr>
              <w:spacing w:after="0" w:line="259" w:lineRule="auto"/>
              <w:ind w:left="113" w:right="46" w:firstLine="0"/>
            </w:pPr>
            <w:r>
              <w:rPr>
                <w:sz w:val="20"/>
              </w:rPr>
              <w:t xml:space="preserve">Перечень кредитных организаций, гарантии которых могут быть рассмотрены в качестве основного обеспечения по займам, обновляется ФРП РФ не реже одного раза в квартал. </w:t>
            </w:r>
          </w:p>
        </w:tc>
      </w:tr>
      <w:tr w:rsidR="00B216DD" w14:paraId="3F558D31" w14:textId="77777777" w:rsidTr="0012492D">
        <w:trPr>
          <w:trHeight w:val="796"/>
        </w:trPr>
        <w:tc>
          <w:tcPr>
            <w:tcW w:w="538" w:type="dxa"/>
            <w:tcBorders>
              <w:top w:val="single" w:sz="4" w:space="0" w:color="000000"/>
              <w:left w:val="single" w:sz="4" w:space="0" w:color="000000"/>
              <w:bottom w:val="single" w:sz="4" w:space="0" w:color="000000"/>
              <w:right w:val="single" w:sz="4" w:space="0" w:color="000000"/>
            </w:tcBorders>
          </w:tcPr>
          <w:p w14:paraId="64ECDAB1" w14:textId="77777777" w:rsidR="00B216DD" w:rsidRDefault="00B216DD" w:rsidP="00A57798">
            <w:pPr>
              <w:spacing w:after="0" w:line="259" w:lineRule="auto"/>
              <w:ind w:left="70" w:right="0" w:firstLine="0"/>
              <w:jc w:val="center"/>
            </w:pPr>
            <w:r>
              <w:rPr>
                <w:b/>
                <w:sz w:val="20"/>
              </w:rPr>
              <w:t xml:space="preserve">II </w:t>
            </w:r>
          </w:p>
        </w:tc>
        <w:tc>
          <w:tcPr>
            <w:tcW w:w="3233" w:type="dxa"/>
            <w:tcBorders>
              <w:top w:val="single" w:sz="4" w:space="0" w:color="000000"/>
              <w:left w:val="single" w:sz="4" w:space="0" w:color="000000"/>
              <w:bottom w:val="single" w:sz="4" w:space="0" w:color="000000"/>
              <w:right w:val="single" w:sz="4" w:space="0" w:color="000000"/>
            </w:tcBorders>
          </w:tcPr>
          <w:p w14:paraId="6D8EA6E4" w14:textId="77777777" w:rsidR="00B216DD" w:rsidRDefault="00B216DD" w:rsidP="00A57798">
            <w:pPr>
              <w:spacing w:after="1" w:line="240" w:lineRule="auto"/>
              <w:ind w:left="113" w:right="48" w:firstLine="0"/>
            </w:pPr>
            <w:r>
              <w:rPr>
                <w:b/>
                <w:sz w:val="20"/>
              </w:rPr>
              <w:t xml:space="preserve">Поручительства и независимые гарантии Государственной корпорации "Банк развития и внешнеэкономической деятельности (Внешэкономбанк)", независимые гарантии кредитных организаций, входящих в Группу Внешэкономбанка, зарегистрированных на территории Российской Федерации. </w:t>
            </w:r>
          </w:p>
          <w:p w14:paraId="14A57CEE" w14:textId="77777777" w:rsidR="00B216DD" w:rsidRDefault="00B216DD" w:rsidP="00A57798">
            <w:pPr>
              <w:spacing w:after="0" w:line="259" w:lineRule="auto"/>
              <w:ind w:left="113" w:right="0" w:firstLine="0"/>
              <w:jc w:val="left"/>
            </w:pPr>
            <w:r>
              <w:rPr>
                <w:b/>
                <w:sz w:val="20"/>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2BB672EE" w14:textId="77777777" w:rsidR="00B216DD" w:rsidRDefault="00B216DD" w:rsidP="00A57798">
            <w:pPr>
              <w:spacing w:after="0" w:line="259" w:lineRule="auto"/>
              <w:ind w:left="66" w:right="0" w:firstLine="0"/>
              <w:jc w:val="center"/>
            </w:pPr>
            <w:r>
              <w:rPr>
                <w:b/>
                <w:sz w:val="20"/>
              </w:rPr>
              <w:t xml:space="preserve">0% </w:t>
            </w:r>
          </w:p>
        </w:tc>
        <w:tc>
          <w:tcPr>
            <w:tcW w:w="4107" w:type="dxa"/>
            <w:tcBorders>
              <w:top w:val="single" w:sz="4" w:space="0" w:color="000000"/>
              <w:left w:val="single" w:sz="4" w:space="0" w:color="000000"/>
              <w:bottom w:val="single" w:sz="4" w:space="0" w:color="000000"/>
              <w:right w:val="single" w:sz="4" w:space="0" w:color="000000"/>
            </w:tcBorders>
          </w:tcPr>
          <w:p w14:paraId="3A2C57DE" w14:textId="07FF4964" w:rsidR="00B216DD" w:rsidRPr="0012492D" w:rsidRDefault="00B216DD" w:rsidP="00A57798">
            <w:pPr>
              <w:spacing w:after="0" w:line="259" w:lineRule="auto"/>
              <w:ind w:left="113" w:right="49" w:firstLine="0"/>
              <w:rPr>
                <w:sz w:val="20"/>
                <w:szCs w:val="20"/>
              </w:rPr>
            </w:pPr>
            <w:r w:rsidRPr="0012492D">
              <w:rPr>
                <w:sz w:val="20"/>
                <w:szCs w:val="20"/>
              </w:rPr>
              <w:t xml:space="preserve">Независимая гарантия кредитной организации должна отвечать условиям: безотзывная, обязательства гаранта могут быть уменьшены на любую сумму, списанную бенефициаром по гарантии. Срок действия гарантии должен превышать срок обязательства по возврату займа на 1 месяц. В случае, если условиями договора займа предусмотрена последующая замена гарантии на иное обеспечение, то срок действия гарантии должен превышать срок, установленный для оформления иного обеспечения, не менее, чем на 6 </w:t>
            </w:r>
            <w:proofErr w:type="gramStart"/>
            <w:r w:rsidRPr="0012492D">
              <w:rPr>
                <w:sz w:val="20"/>
                <w:szCs w:val="20"/>
              </w:rPr>
              <w:t xml:space="preserve">месяцев </w:t>
            </w:r>
            <w:r w:rsidR="0012492D" w:rsidRPr="0012492D">
              <w:rPr>
                <w:sz w:val="20"/>
                <w:szCs w:val="20"/>
              </w:rPr>
              <w:t>.</w:t>
            </w:r>
            <w:proofErr w:type="gramEnd"/>
          </w:p>
          <w:p w14:paraId="1163DE58" w14:textId="750520F4" w:rsidR="0012492D" w:rsidRPr="0012492D" w:rsidRDefault="0012492D" w:rsidP="00A57798">
            <w:pPr>
              <w:spacing w:after="0" w:line="259" w:lineRule="auto"/>
              <w:ind w:left="113" w:right="49" w:firstLine="0"/>
              <w:rPr>
                <w:sz w:val="20"/>
                <w:szCs w:val="20"/>
              </w:rPr>
            </w:pPr>
            <w:r w:rsidRPr="0012492D">
              <w:rPr>
                <w:sz w:val="20"/>
                <w:szCs w:val="20"/>
              </w:rPr>
              <w:lastRenderedPageBreak/>
              <w:t>Поручительство государственной корпорации развития «ВЭБ.РФ» должно отвечать следующим условиям: предусматривать солидарную ответственность поручителя, срок действия поручительства должен превышать срок обязательств по возврату займа на 1 год. Неустойка за неисполнение обязательств поручителем устанавливается в твердой денежной сумме в размере не менее 5 млн рублей.</w:t>
            </w:r>
          </w:p>
        </w:tc>
      </w:tr>
      <w:tr w:rsidR="00B216DD" w14:paraId="51F0FCDD" w14:textId="77777777" w:rsidTr="00A57798">
        <w:trPr>
          <w:trHeight w:val="1388"/>
        </w:trPr>
        <w:tc>
          <w:tcPr>
            <w:tcW w:w="538" w:type="dxa"/>
            <w:tcBorders>
              <w:top w:val="single" w:sz="4" w:space="0" w:color="000000"/>
              <w:left w:val="single" w:sz="4" w:space="0" w:color="000000"/>
              <w:bottom w:val="single" w:sz="4" w:space="0" w:color="000000"/>
              <w:right w:val="single" w:sz="4" w:space="0" w:color="000000"/>
            </w:tcBorders>
          </w:tcPr>
          <w:p w14:paraId="5016659E" w14:textId="77777777" w:rsidR="00B216DD" w:rsidRDefault="00B216DD" w:rsidP="00A57798">
            <w:pPr>
              <w:spacing w:after="0" w:line="259" w:lineRule="auto"/>
              <w:ind w:left="67" w:right="0" w:firstLine="0"/>
              <w:jc w:val="center"/>
            </w:pPr>
            <w:r>
              <w:rPr>
                <w:b/>
                <w:sz w:val="20"/>
              </w:rPr>
              <w:lastRenderedPageBreak/>
              <w:t xml:space="preserve">III </w:t>
            </w:r>
          </w:p>
        </w:tc>
        <w:tc>
          <w:tcPr>
            <w:tcW w:w="3233" w:type="dxa"/>
            <w:tcBorders>
              <w:top w:val="single" w:sz="4" w:space="0" w:color="000000"/>
              <w:left w:val="single" w:sz="4" w:space="0" w:color="000000"/>
              <w:bottom w:val="single" w:sz="4" w:space="0" w:color="000000"/>
              <w:right w:val="single" w:sz="4" w:space="0" w:color="000000"/>
            </w:tcBorders>
          </w:tcPr>
          <w:p w14:paraId="06454FEB" w14:textId="77777777" w:rsidR="00B216DD" w:rsidRDefault="00B216DD" w:rsidP="00A57798">
            <w:pPr>
              <w:spacing w:after="0" w:line="259" w:lineRule="auto"/>
              <w:ind w:left="113" w:right="47" w:firstLine="0"/>
            </w:pPr>
            <w:r>
              <w:rPr>
                <w:b/>
                <w:sz w:val="20"/>
              </w:rPr>
              <w:t>Гарантии и поручительства АО "Федеральная корпорация по развитию малого и среднего предпринимательства", региональных фондов содействия кредитованию МСП, АО "МСП Банк"</w:t>
            </w:r>
            <w:r>
              <w:rPr>
                <w:sz w:val="20"/>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2C17A4F7" w14:textId="77777777" w:rsidR="00B216DD" w:rsidRDefault="00B216DD" w:rsidP="00A57798">
            <w:pPr>
              <w:spacing w:after="0" w:line="259" w:lineRule="auto"/>
              <w:ind w:left="66" w:right="0" w:firstLine="0"/>
              <w:jc w:val="center"/>
            </w:pPr>
            <w:r>
              <w:rPr>
                <w:b/>
                <w:sz w:val="20"/>
              </w:rPr>
              <w:t xml:space="preserve">0% </w:t>
            </w:r>
          </w:p>
        </w:tc>
        <w:tc>
          <w:tcPr>
            <w:tcW w:w="4107" w:type="dxa"/>
            <w:tcBorders>
              <w:top w:val="single" w:sz="4" w:space="0" w:color="000000"/>
              <w:left w:val="single" w:sz="4" w:space="0" w:color="000000"/>
              <w:bottom w:val="single" w:sz="4" w:space="0" w:color="000000"/>
              <w:right w:val="single" w:sz="4" w:space="0" w:color="000000"/>
            </w:tcBorders>
          </w:tcPr>
          <w:p w14:paraId="22207338" w14:textId="62CA151F" w:rsidR="00B216DD" w:rsidRDefault="00B216DD" w:rsidP="00A57798">
            <w:pPr>
              <w:spacing w:after="0" w:line="259" w:lineRule="auto"/>
              <w:ind w:left="113" w:right="0" w:firstLine="0"/>
              <w:jc w:val="left"/>
            </w:pPr>
            <w:r>
              <w:rPr>
                <w:sz w:val="20"/>
              </w:rPr>
              <w:t xml:space="preserve">Гарантия должна быть </w:t>
            </w:r>
            <w:proofErr w:type="gramStart"/>
            <w:r>
              <w:rPr>
                <w:sz w:val="20"/>
              </w:rPr>
              <w:t>безотзывной</w:t>
            </w:r>
            <w:proofErr w:type="gramEnd"/>
            <w:r w:rsidR="0012492D">
              <w:rPr>
                <w:sz w:val="20"/>
              </w:rPr>
              <w:t xml:space="preserve"> </w:t>
            </w:r>
            <w:r w:rsidR="0012492D" w:rsidRPr="0012492D">
              <w:rPr>
                <w:sz w:val="20"/>
                <w:szCs w:val="18"/>
              </w:rPr>
              <w:t>Поручительство должно предусматривать субсидиарную ответственность поручителя, срок действия поручительства должен превышать срок обязательства по возврату займа на 120 дней</w:t>
            </w:r>
            <w:r w:rsidR="0012492D">
              <w:t>.</w:t>
            </w:r>
          </w:p>
        </w:tc>
      </w:tr>
      <w:tr w:rsidR="00B216DD" w14:paraId="49E742E7" w14:textId="77777777" w:rsidTr="00A57798">
        <w:trPr>
          <w:trHeight w:val="470"/>
        </w:trPr>
        <w:tc>
          <w:tcPr>
            <w:tcW w:w="538" w:type="dxa"/>
            <w:tcBorders>
              <w:top w:val="single" w:sz="4" w:space="0" w:color="000000"/>
              <w:left w:val="single" w:sz="4" w:space="0" w:color="000000"/>
              <w:bottom w:val="single" w:sz="4" w:space="0" w:color="000000"/>
              <w:right w:val="single" w:sz="4" w:space="0" w:color="000000"/>
            </w:tcBorders>
          </w:tcPr>
          <w:p w14:paraId="25219C1A" w14:textId="77777777" w:rsidR="00B216DD" w:rsidRDefault="00B216DD" w:rsidP="00A57798">
            <w:pPr>
              <w:spacing w:after="0" w:line="259" w:lineRule="auto"/>
              <w:ind w:left="66" w:right="0" w:firstLine="0"/>
              <w:jc w:val="center"/>
            </w:pPr>
            <w:r>
              <w:rPr>
                <w:b/>
                <w:sz w:val="20"/>
              </w:rPr>
              <w:t xml:space="preserve">IV </w:t>
            </w:r>
          </w:p>
        </w:tc>
        <w:tc>
          <w:tcPr>
            <w:tcW w:w="3233" w:type="dxa"/>
            <w:tcBorders>
              <w:top w:val="single" w:sz="4" w:space="0" w:color="000000"/>
              <w:left w:val="single" w:sz="4" w:space="0" w:color="000000"/>
              <w:bottom w:val="single" w:sz="4" w:space="0" w:color="000000"/>
              <w:right w:val="single" w:sz="4" w:space="0" w:color="000000"/>
            </w:tcBorders>
          </w:tcPr>
          <w:p w14:paraId="156E67EA" w14:textId="7E9343DB" w:rsidR="00B216DD" w:rsidRPr="004A0D5E" w:rsidRDefault="004A0D5E" w:rsidP="00A57798">
            <w:pPr>
              <w:spacing w:after="0" w:line="259" w:lineRule="auto"/>
              <w:ind w:left="113" w:right="0" w:firstLine="0"/>
              <w:jc w:val="left"/>
              <w:rPr>
                <w:b/>
                <w:bCs/>
              </w:rPr>
            </w:pPr>
            <w:r w:rsidRPr="004A0D5E">
              <w:rPr>
                <w:b/>
                <w:bCs/>
                <w:sz w:val="20"/>
                <w:szCs w:val="18"/>
              </w:rPr>
              <w:t>Государственные (муниципальные) гарантии субъектов Российской Федерации (муниципальных образований), соответствующие требованиям статей 115- 117 БК РФ</w:t>
            </w:r>
          </w:p>
        </w:tc>
        <w:tc>
          <w:tcPr>
            <w:tcW w:w="1752" w:type="dxa"/>
            <w:tcBorders>
              <w:top w:val="single" w:sz="4" w:space="0" w:color="000000"/>
              <w:left w:val="single" w:sz="4" w:space="0" w:color="000000"/>
              <w:bottom w:val="single" w:sz="4" w:space="0" w:color="000000"/>
              <w:right w:val="single" w:sz="4" w:space="0" w:color="000000"/>
            </w:tcBorders>
          </w:tcPr>
          <w:p w14:paraId="47954703" w14:textId="77777777" w:rsidR="00B216DD" w:rsidRDefault="00B216DD" w:rsidP="00A57798">
            <w:pPr>
              <w:spacing w:after="0" w:line="259" w:lineRule="auto"/>
              <w:ind w:left="66" w:right="0" w:firstLine="0"/>
              <w:jc w:val="center"/>
            </w:pPr>
            <w:r>
              <w:rPr>
                <w:b/>
                <w:sz w:val="20"/>
              </w:rPr>
              <w:t xml:space="preserve">0% </w:t>
            </w:r>
          </w:p>
        </w:tc>
        <w:tc>
          <w:tcPr>
            <w:tcW w:w="4107" w:type="dxa"/>
            <w:tcBorders>
              <w:top w:val="single" w:sz="4" w:space="0" w:color="000000"/>
              <w:left w:val="single" w:sz="4" w:space="0" w:color="000000"/>
              <w:bottom w:val="single" w:sz="4" w:space="0" w:color="000000"/>
              <w:right w:val="single" w:sz="4" w:space="0" w:color="000000"/>
            </w:tcBorders>
          </w:tcPr>
          <w:p w14:paraId="44D2111C" w14:textId="77777777" w:rsidR="00B216DD" w:rsidRDefault="00B216DD" w:rsidP="00A57798">
            <w:pPr>
              <w:spacing w:after="0" w:line="259" w:lineRule="auto"/>
              <w:ind w:right="0" w:firstLine="0"/>
              <w:jc w:val="left"/>
            </w:pPr>
            <w:r>
              <w:rPr>
                <w:b/>
                <w:sz w:val="20"/>
              </w:rPr>
              <w:t xml:space="preserve"> </w:t>
            </w:r>
          </w:p>
        </w:tc>
      </w:tr>
      <w:tr w:rsidR="00B216DD" w14:paraId="6E0E706E" w14:textId="77777777" w:rsidTr="00A57798">
        <w:trPr>
          <w:trHeight w:val="926"/>
        </w:trPr>
        <w:tc>
          <w:tcPr>
            <w:tcW w:w="538" w:type="dxa"/>
            <w:tcBorders>
              <w:top w:val="single" w:sz="4" w:space="0" w:color="000000"/>
              <w:left w:val="single" w:sz="4" w:space="0" w:color="000000"/>
              <w:bottom w:val="single" w:sz="4" w:space="0" w:color="000000"/>
              <w:right w:val="single" w:sz="4" w:space="0" w:color="000000"/>
            </w:tcBorders>
          </w:tcPr>
          <w:p w14:paraId="47FE68B1" w14:textId="77777777" w:rsidR="00B216DD" w:rsidRDefault="00B216DD" w:rsidP="00A57798">
            <w:pPr>
              <w:spacing w:after="0" w:line="259" w:lineRule="auto"/>
              <w:ind w:left="68" w:right="0" w:firstLine="0"/>
              <w:jc w:val="center"/>
            </w:pPr>
            <w:r>
              <w:rPr>
                <w:b/>
                <w:sz w:val="20"/>
              </w:rPr>
              <w:t xml:space="preserve">V </w:t>
            </w:r>
          </w:p>
        </w:tc>
        <w:tc>
          <w:tcPr>
            <w:tcW w:w="3233" w:type="dxa"/>
            <w:tcBorders>
              <w:top w:val="single" w:sz="4" w:space="0" w:color="000000"/>
              <w:left w:val="single" w:sz="4" w:space="0" w:color="000000"/>
              <w:bottom w:val="single" w:sz="4" w:space="0" w:color="000000"/>
              <w:right w:val="single" w:sz="4" w:space="0" w:color="000000"/>
            </w:tcBorders>
          </w:tcPr>
          <w:p w14:paraId="060320CD" w14:textId="77777777" w:rsidR="00B216DD" w:rsidRDefault="00B216DD" w:rsidP="00A57798">
            <w:pPr>
              <w:spacing w:after="0" w:line="259" w:lineRule="auto"/>
              <w:ind w:left="113" w:right="49" w:firstLine="0"/>
            </w:pPr>
            <w:r>
              <w:rPr>
                <w:b/>
                <w:sz w:val="20"/>
              </w:rPr>
              <w:t xml:space="preserve">Страхование Акционерным обществом "Российское агентство по страхованию экспортных кредитов и инвестиций (АО ЭКСАР") </w:t>
            </w:r>
          </w:p>
        </w:tc>
        <w:tc>
          <w:tcPr>
            <w:tcW w:w="1752" w:type="dxa"/>
            <w:tcBorders>
              <w:top w:val="single" w:sz="4" w:space="0" w:color="000000"/>
              <w:left w:val="single" w:sz="4" w:space="0" w:color="000000"/>
              <w:bottom w:val="single" w:sz="4" w:space="0" w:color="000000"/>
              <w:right w:val="single" w:sz="4" w:space="0" w:color="000000"/>
            </w:tcBorders>
          </w:tcPr>
          <w:p w14:paraId="410E0B6D" w14:textId="77777777" w:rsidR="00B216DD" w:rsidRDefault="00B216DD" w:rsidP="00A57798">
            <w:pPr>
              <w:spacing w:after="0" w:line="259" w:lineRule="auto"/>
              <w:ind w:left="66" w:right="0" w:firstLine="0"/>
              <w:jc w:val="center"/>
            </w:pPr>
            <w:r>
              <w:rPr>
                <w:b/>
                <w:sz w:val="20"/>
              </w:rPr>
              <w:t xml:space="preserve">0% </w:t>
            </w:r>
          </w:p>
        </w:tc>
        <w:tc>
          <w:tcPr>
            <w:tcW w:w="4107" w:type="dxa"/>
            <w:tcBorders>
              <w:top w:val="single" w:sz="4" w:space="0" w:color="000000"/>
              <w:left w:val="single" w:sz="4" w:space="0" w:color="000000"/>
              <w:bottom w:val="single" w:sz="4" w:space="0" w:color="000000"/>
              <w:right w:val="single" w:sz="4" w:space="0" w:color="000000"/>
            </w:tcBorders>
          </w:tcPr>
          <w:p w14:paraId="52D91BDB" w14:textId="77777777" w:rsidR="00B216DD" w:rsidRDefault="00B216DD" w:rsidP="00A57798">
            <w:pPr>
              <w:spacing w:after="0" w:line="259" w:lineRule="auto"/>
              <w:ind w:right="0" w:firstLine="0"/>
              <w:jc w:val="left"/>
            </w:pPr>
            <w:r>
              <w:rPr>
                <w:sz w:val="20"/>
              </w:rPr>
              <w:t xml:space="preserve"> </w:t>
            </w:r>
          </w:p>
        </w:tc>
      </w:tr>
      <w:tr w:rsidR="004A0D5E" w14:paraId="182888AE" w14:textId="77777777" w:rsidTr="00A57798">
        <w:trPr>
          <w:trHeight w:val="926"/>
        </w:trPr>
        <w:tc>
          <w:tcPr>
            <w:tcW w:w="538" w:type="dxa"/>
            <w:tcBorders>
              <w:top w:val="single" w:sz="4" w:space="0" w:color="000000"/>
              <w:left w:val="single" w:sz="4" w:space="0" w:color="000000"/>
              <w:bottom w:val="single" w:sz="4" w:space="0" w:color="000000"/>
              <w:right w:val="single" w:sz="4" w:space="0" w:color="000000"/>
            </w:tcBorders>
          </w:tcPr>
          <w:p w14:paraId="6F62FFA2" w14:textId="4EDFBAC5" w:rsidR="004A0D5E" w:rsidRDefault="004A0D5E" w:rsidP="004A0D5E">
            <w:pPr>
              <w:spacing w:after="0" w:line="259" w:lineRule="auto"/>
              <w:ind w:left="68" w:right="0" w:firstLine="0"/>
              <w:jc w:val="center"/>
              <w:rPr>
                <w:b/>
                <w:sz w:val="20"/>
              </w:rPr>
            </w:pPr>
            <w:r>
              <w:rPr>
                <w:b/>
                <w:sz w:val="20"/>
              </w:rPr>
              <w:t xml:space="preserve">VI </w:t>
            </w:r>
          </w:p>
        </w:tc>
        <w:tc>
          <w:tcPr>
            <w:tcW w:w="3233" w:type="dxa"/>
            <w:tcBorders>
              <w:top w:val="single" w:sz="4" w:space="0" w:color="000000"/>
              <w:left w:val="single" w:sz="4" w:space="0" w:color="000000"/>
              <w:bottom w:val="single" w:sz="4" w:space="0" w:color="000000"/>
              <w:right w:val="single" w:sz="4" w:space="0" w:color="000000"/>
            </w:tcBorders>
          </w:tcPr>
          <w:p w14:paraId="43F5D500" w14:textId="1F4A03A7" w:rsidR="004A0D5E" w:rsidRDefault="005C5D01" w:rsidP="005C5D01">
            <w:pPr>
              <w:spacing w:after="0" w:line="259" w:lineRule="auto"/>
              <w:ind w:left="113" w:right="49" w:firstLine="0"/>
              <w:jc w:val="left"/>
              <w:rPr>
                <w:b/>
                <w:sz w:val="20"/>
              </w:rPr>
            </w:pPr>
            <w:r w:rsidRPr="005C5D01">
              <w:rPr>
                <w:b/>
                <w:sz w:val="20"/>
              </w:rPr>
              <w:t>Поручительства</w:t>
            </w:r>
            <w:r>
              <w:rPr>
                <w:b/>
                <w:sz w:val="20"/>
              </w:rPr>
              <w:t xml:space="preserve"> и независимые гарантии</w:t>
            </w:r>
            <w:r w:rsidRPr="005C5D01">
              <w:rPr>
                <w:b/>
                <w:sz w:val="20"/>
              </w:rPr>
              <w:t xml:space="preserve"> юридических лиц</w:t>
            </w:r>
            <w:r w:rsidRPr="005C5D01">
              <w:rPr>
                <w:b/>
                <w:sz w:val="20"/>
                <w:vertAlign w:val="superscript"/>
              </w:rPr>
              <w:footnoteReference w:id="1"/>
            </w:r>
            <w:r w:rsidRPr="005C5D01">
              <w:rPr>
                <w:b/>
                <w:sz w:val="20"/>
              </w:rPr>
              <w:t xml:space="preserve"> </w:t>
            </w:r>
            <w:r w:rsidRPr="005C5D01">
              <w:rPr>
                <w:bCs/>
                <w:sz w:val="20"/>
              </w:rPr>
              <w:t>при условии, что юридическое лицо соответствует критериям оценки устойчивости финансового положения, устанавливаемым Наблюдательным советом Фонда</w:t>
            </w:r>
          </w:p>
        </w:tc>
        <w:tc>
          <w:tcPr>
            <w:tcW w:w="1752" w:type="dxa"/>
            <w:tcBorders>
              <w:top w:val="single" w:sz="4" w:space="0" w:color="000000"/>
              <w:left w:val="single" w:sz="4" w:space="0" w:color="000000"/>
              <w:bottom w:val="single" w:sz="4" w:space="0" w:color="000000"/>
              <w:right w:val="single" w:sz="4" w:space="0" w:color="000000"/>
            </w:tcBorders>
          </w:tcPr>
          <w:p w14:paraId="48F9313F" w14:textId="372A68F7" w:rsidR="004A0D5E" w:rsidRDefault="005C5D01" w:rsidP="004A0D5E">
            <w:pPr>
              <w:spacing w:after="0" w:line="259" w:lineRule="auto"/>
              <w:ind w:left="66" w:right="0" w:firstLine="0"/>
              <w:jc w:val="center"/>
              <w:rPr>
                <w:b/>
                <w:sz w:val="20"/>
              </w:rPr>
            </w:pPr>
            <w:r>
              <w:rPr>
                <w:b/>
                <w:sz w:val="20"/>
              </w:rPr>
              <w:t>0%</w:t>
            </w:r>
          </w:p>
        </w:tc>
        <w:tc>
          <w:tcPr>
            <w:tcW w:w="4107" w:type="dxa"/>
            <w:tcBorders>
              <w:top w:val="single" w:sz="4" w:space="0" w:color="000000"/>
              <w:left w:val="single" w:sz="4" w:space="0" w:color="000000"/>
              <w:bottom w:val="single" w:sz="4" w:space="0" w:color="000000"/>
              <w:right w:val="single" w:sz="4" w:space="0" w:color="000000"/>
            </w:tcBorders>
          </w:tcPr>
          <w:p w14:paraId="1AE32C55" w14:textId="4FD34746" w:rsidR="004A0D5E" w:rsidRDefault="005C5D01" w:rsidP="004A0D5E">
            <w:pPr>
              <w:spacing w:after="0" w:line="259" w:lineRule="auto"/>
              <w:ind w:right="0" w:firstLine="0"/>
              <w:jc w:val="left"/>
              <w:rPr>
                <w:sz w:val="20"/>
              </w:rPr>
            </w:pPr>
            <w:r w:rsidRPr="005C5D01">
              <w:rPr>
                <w:sz w:val="20"/>
                <w:szCs w:val="18"/>
              </w:rPr>
              <w:t xml:space="preserve">Поручительство юридического лица должно предусматривать солидарную ответственность поручителя, срок действия поручительства должен превышать срок обязательства по возврату займа на 1 год. Независимая гарантия юридического лица должна отвечать условиям: безотзывная, обязательства гаранта могут быть уменьшены на любую сумму, списанную бенефициаром по гарантии. Срок действия гарантии должен превышать срок обязательства по возврату займа на 1 месяц. В случае если условиями договора займа предусмотрена </w:t>
            </w:r>
            <w:r w:rsidRPr="005C5D01">
              <w:rPr>
                <w:sz w:val="20"/>
                <w:szCs w:val="18"/>
              </w:rPr>
              <w:lastRenderedPageBreak/>
              <w:t>последующая замена гарантии на иное обеспечение, то срок действия гарантии должен превышать срок, установленный для оформления иного обеспечения, не менее чем на 6 месяцев</w:t>
            </w:r>
          </w:p>
        </w:tc>
      </w:tr>
      <w:tr w:rsidR="004A0D5E" w14:paraId="6025BB14" w14:textId="77777777" w:rsidTr="00A57798">
        <w:trPr>
          <w:trHeight w:val="1388"/>
        </w:trPr>
        <w:tc>
          <w:tcPr>
            <w:tcW w:w="538" w:type="dxa"/>
            <w:tcBorders>
              <w:top w:val="single" w:sz="4" w:space="0" w:color="000000"/>
              <w:left w:val="single" w:sz="4" w:space="0" w:color="000000"/>
              <w:bottom w:val="single" w:sz="4" w:space="0" w:color="000000"/>
              <w:right w:val="single" w:sz="4" w:space="0" w:color="000000"/>
            </w:tcBorders>
          </w:tcPr>
          <w:p w14:paraId="3AFC1DED" w14:textId="255C2006" w:rsidR="004A0D5E" w:rsidRDefault="004A0D5E" w:rsidP="004A0D5E">
            <w:pPr>
              <w:spacing w:after="0" w:line="259" w:lineRule="auto"/>
              <w:ind w:left="65" w:right="0" w:firstLine="0"/>
              <w:jc w:val="center"/>
            </w:pPr>
            <w:r>
              <w:rPr>
                <w:b/>
                <w:sz w:val="20"/>
              </w:rPr>
              <w:lastRenderedPageBreak/>
              <w:t xml:space="preserve">VII </w:t>
            </w:r>
          </w:p>
        </w:tc>
        <w:tc>
          <w:tcPr>
            <w:tcW w:w="3233" w:type="dxa"/>
            <w:tcBorders>
              <w:top w:val="single" w:sz="4" w:space="0" w:color="000000"/>
              <w:left w:val="single" w:sz="4" w:space="0" w:color="000000"/>
              <w:bottom w:val="single" w:sz="4" w:space="0" w:color="000000"/>
              <w:right w:val="single" w:sz="4" w:space="0" w:color="000000"/>
            </w:tcBorders>
          </w:tcPr>
          <w:p w14:paraId="5B39FF1D" w14:textId="335E5559" w:rsidR="005C5D01" w:rsidRPr="005C5D01" w:rsidRDefault="005C5D01" w:rsidP="005C5D01">
            <w:pPr>
              <w:spacing w:after="0" w:line="259" w:lineRule="auto"/>
              <w:ind w:left="113" w:right="49" w:firstLine="0"/>
              <w:jc w:val="left"/>
              <w:rPr>
                <w:b/>
                <w:bCs/>
                <w:sz w:val="20"/>
                <w:szCs w:val="18"/>
              </w:rPr>
            </w:pPr>
            <w:r w:rsidRPr="005C5D01">
              <w:rPr>
                <w:b/>
                <w:bCs/>
                <w:sz w:val="20"/>
                <w:szCs w:val="18"/>
              </w:rPr>
              <w:t>Поручительства и независимые гарантии международных финансовых организаций, международных организаций развития с участием Российской Федерации</w:t>
            </w:r>
            <w:r w:rsidRPr="005C5D01">
              <w:rPr>
                <w:b/>
                <w:bCs/>
                <w:sz w:val="20"/>
                <w:szCs w:val="18"/>
                <w:vertAlign w:val="superscript"/>
              </w:rPr>
              <w:t>2</w:t>
            </w:r>
            <w:r w:rsidRPr="005C5D01">
              <w:rPr>
                <w:b/>
                <w:bCs/>
                <w:sz w:val="20"/>
                <w:szCs w:val="18"/>
              </w:rPr>
              <w:t xml:space="preserve">: </w:t>
            </w:r>
          </w:p>
          <w:p w14:paraId="7514F193" w14:textId="5AFCE808" w:rsidR="004A0D5E" w:rsidRDefault="005C5D01" w:rsidP="005C5D01">
            <w:pPr>
              <w:spacing w:after="0" w:line="259" w:lineRule="auto"/>
              <w:ind w:left="113" w:right="46" w:firstLine="0"/>
            </w:pPr>
            <w:r w:rsidRPr="005C5D01">
              <w:rPr>
                <w:b/>
                <w:bCs/>
                <w:sz w:val="20"/>
                <w:szCs w:val="18"/>
              </w:rPr>
              <w:t xml:space="preserve"> • Евразийский банк развития.</w:t>
            </w:r>
          </w:p>
        </w:tc>
        <w:tc>
          <w:tcPr>
            <w:tcW w:w="1752" w:type="dxa"/>
            <w:tcBorders>
              <w:top w:val="single" w:sz="4" w:space="0" w:color="000000"/>
              <w:left w:val="single" w:sz="4" w:space="0" w:color="000000"/>
              <w:bottom w:val="single" w:sz="4" w:space="0" w:color="000000"/>
              <w:right w:val="single" w:sz="4" w:space="0" w:color="000000"/>
            </w:tcBorders>
          </w:tcPr>
          <w:p w14:paraId="3F84847F" w14:textId="77777777" w:rsidR="004A0D5E" w:rsidRDefault="004A0D5E" w:rsidP="004A0D5E">
            <w:pPr>
              <w:spacing w:after="0" w:line="259" w:lineRule="auto"/>
              <w:ind w:left="66" w:right="0" w:firstLine="0"/>
              <w:jc w:val="center"/>
            </w:pPr>
            <w:r>
              <w:rPr>
                <w:b/>
                <w:sz w:val="20"/>
              </w:rPr>
              <w:t xml:space="preserve">0% </w:t>
            </w:r>
          </w:p>
        </w:tc>
        <w:tc>
          <w:tcPr>
            <w:tcW w:w="4107" w:type="dxa"/>
            <w:tcBorders>
              <w:top w:val="single" w:sz="4" w:space="0" w:color="000000"/>
              <w:left w:val="single" w:sz="4" w:space="0" w:color="000000"/>
              <w:bottom w:val="single" w:sz="4" w:space="0" w:color="000000"/>
              <w:right w:val="single" w:sz="4" w:space="0" w:color="000000"/>
            </w:tcBorders>
          </w:tcPr>
          <w:p w14:paraId="59DBCBC9" w14:textId="065A7FB3" w:rsidR="004A0D5E" w:rsidRDefault="00C8692E" w:rsidP="004A0D5E">
            <w:pPr>
              <w:spacing w:after="0" w:line="259" w:lineRule="auto"/>
              <w:ind w:left="113" w:right="49" w:firstLine="0"/>
            </w:pPr>
            <w:r w:rsidRPr="00C8692E">
              <w:rPr>
                <w:sz w:val="20"/>
              </w:rPr>
              <w:t>Независимая гарантия международной организации должна отвечать условиям: безотзывная, обязательства гаранта могут быть уменьшены на любую сумму, списанную бенефициаром по гарантии. Срок действия гарантии должен превышать срок обязательства по возврату займа на 1 месяц. В случае если условиями договора займа предусмотрена последующая замена гарантии на иное обеспечение, то срок действия гарантии должен превышать срок, установленный для оформления иного обеспечения, не менее чем на 6 месяцев. Поручительство международной организации должно предусматривать солидарную ответственность поручителя, срок действия поручительства должен превышать срок обязательства по возврату займа на 1 год</w:t>
            </w:r>
          </w:p>
        </w:tc>
      </w:tr>
      <w:tr w:rsidR="005C5D01" w14:paraId="36AD0373" w14:textId="77777777" w:rsidTr="00A57798">
        <w:trPr>
          <w:trHeight w:val="1387"/>
        </w:trPr>
        <w:tc>
          <w:tcPr>
            <w:tcW w:w="538" w:type="dxa"/>
            <w:tcBorders>
              <w:top w:val="single" w:sz="4" w:space="0" w:color="000000"/>
              <w:left w:val="single" w:sz="4" w:space="0" w:color="000000"/>
              <w:bottom w:val="single" w:sz="4" w:space="0" w:color="000000"/>
              <w:right w:val="single" w:sz="4" w:space="0" w:color="000000"/>
            </w:tcBorders>
          </w:tcPr>
          <w:p w14:paraId="2286DF09" w14:textId="2CD8B2AC" w:rsidR="005C5D01" w:rsidRDefault="005C5D01" w:rsidP="005C5D01">
            <w:pPr>
              <w:spacing w:after="0" w:line="259" w:lineRule="auto"/>
              <w:ind w:left="67" w:right="0" w:firstLine="0"/>
              <w:jc w:val="center"/>
            </w:pPr>
            <w:r>
              <w:rPr>
                <w:b/>
                <w:sz w:val="20"/>
              </w:rPr>
              <w:t xml:space="preserve">VIII </w:t>
            </w:r>
          </w:p>
        </w:tc>
        <w:tc>
          <w:tcPr>
            <w:tcW w:w="3233" w:type="dxa"/>
            <w:tcBorders>
              <w:top w:val="single" w:sz="4" w:space="0" w:color="000000"/>
              <w:left w:val="single" w:sz="4" w:space="0" w:color="000000"/>
              <w:bottom w:val="single" w:sz="4" w:space="0" w:color="000000"/>
              <w:right w:val="single" w:sz="4" w:space="0" w:color="000000"/>
            </w:tcBorders>
          </w:tcPr>
          <w:p w14:paraId="2B271DE9" w14:textId="77777777" w:rsidR="005C5D01" w:rsidRDefault="005C5D01" w:rsidP="005C5D01">
            <w:pPr>
              <w:spacing w:after="0" w:line="259" w:lineRule="auto"/>
              <w:ind w:left="113" w:right="0" w:firstLine="0"/>
              <w:jc w:val="left"/>
            </w:pPr>
            <w:r>
              <w:rPr>
                <w:sz w:val="20"/>
                <w:vertAlign w:val="superscript"/>
              </w:rPr>
              <w:t xml:space="preserve"> </w:t>
            </w:r>
            <w:r>
              <w:rPr>
                <w:b/>
                <w:sz w:val="20"/>
              </w:rPr>
              <w:t xml:space="preserve">Поручительства лизинговых компаний </w:t>
            </w:r>
            <w:r>
              <w:rPr>
                <w:sz w:val="20"/>
              </w:rPr>
              <w:t>(соответствующих критериям оценки устойчивости финансового положения, установленным Наблюдательным советом Фонда)</w:t>
            </w:r>
            <w:r>
              <w:rPr>
                <w:b/>
                <w:sz w:val="20"/>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16B32B9E" w14:textId="77777777" w:rsidR="005C5D01" w:rsidRDefault="005C5D01" w:rsidP="005C5D01">
            <w:pPr>
              <w:spacing w:after="0" w:line="259" w:lineRule="auto"/>
              <w:ind w:left="66" w:right="0" w:firstLine="0"/>
              <w:jc w:val="center"/>
            </w:pPr>
            <w:r>
              <w:rPr>
                <w:b/>
                <w:sz w:val="20"/>
              </w:rPr>
              <w:t xml:space="preserve">0% </w:t>
            </w:r>
          </w:p>
        </w:tc>
        <w:tc>
          <w:tcPr>
            <w:tcW w:w="4107" w:type="dxa"/>
            <w:tcBorders>
              <w:top w:val="single" w:sz="4" w:space="0" w:color="000000"/>
              <w:left w:val="single" w:sz="4" w:space="0" w:color="000000"/>
              <w:bottom w:val="single" w:sz="4" w:space="0" w:color="000000"/>
              <w:right w:val="single" w:sz="4" w:space="0" w:color="000000"/>
            </w:tcBorders>
          </w:tcPr>
          <w:p w14:paraId="729D1A2C" w14:textId="77777777" w:rsidR="005C5D01" w:rsidRDefault="005C5D01" w:rsidP="005C5D01">
            <w:pPr>
              <w:spacing w:after="1" w:line="241" w:lineRule="auto"/>
              <w:ind w:left="113" w:right="47" w:firstLine="0"/>
            </w:pPr>
            <w:r>
              <w:rPr>
                <w:sz w:val="20"/>
              </w:rPr>
              <w:t xml:space="preserve">Поручительство должно предусматривать солидарную ответственность поручителя, срок действия поручительства должен превышать срок обязательства по возврату займа на 1 год. </w:t>
            </w:r>
          </w:p>
          <w:p w14:paraId="1001F8A8" w14:textId="77777777" w:rsidR="005C5D01" w:rsidRDefault="005C5D01" w:rsidP="005C5D01">
            <w:pPr>
              <w:spacing w:after="0" w:line="259" w:lineRule="auto"/>
              <w:ind w:left="113" w:right="0" w:firstLine="0"/>
              <w:jc w:val="left"/>
            </w:pPr>
            <w:r>
              <w:rPr>
                <w:sz w:val="20"/>
              </w:rPr>
              <w:t xml:space="preserve"> </w:t>
            </w:r>
          </w:p>
        </w:tc>
      </w:tr>
      <w:tr w:rsidR="005C5D01" w14:paraId="36ABA5B3" w14:textId="77777777" w:rsidTr="00A57798">
        <w:trPr>
          <w:trHeight w:val="1160"/>
        </w:trPr>
        <w:tc>
          <w:tcPr>
            <w:tcW w:w="538" w:type="dxa"/>
            <w:tcBorders>
              <w:top w:val="single" w:sz="4" w:space="0" w:color="000000"/>
              <w:left w:val="single" w:sz="4" w:space="0" w:color="000000"/>
              <w:bottom w:val="single" w:sz="4" w:space="0" w:color="000000"/>
              <w:right w:val="single" w:sz="4" w:space="0" w:color="000000"/>
            </w:tcBorders>
          </w:tcPr>
          <w:p w14:paraId="266A1205" w14:textId="1BB0545B" w:rsidR="005C5D01" w:rsidRDefault="005C5D01" w:rsidP="005C5D01">
            <w:pPr>
              <w:spacing w:after="0" w:line="259" w:lineRule="auto"/>
              <w:ind w:left="64" w:right="0" w:firstLine="0"/>
              <w:jc w:val="center"/>
            </w:pPr>
            <w:r>
              <w:rPr>
                <w:b/>
                <w:sz w:val="20"/>
              </w:rPr>
              <w:t>I</w:t>
            </w:r>
            <w:r w:rsidR="00CE4244">
              <w:rPr>
                <w:b/>
                <w:sz w:val="20"/>
              </w:rPr>
              <w:t>Х</w:t>
            </w:r>
            <w:r>
              <w:rPr>
                <w:b/>
                <w:sz w:val="20"/>
              </w:rPr>
              <w:t xml:space="preserve"> </w:t>
            </w:r>
          </w:p>
        </w:tc>
        <w:tc>
          <w:tcPr>
            <w:tcW w:w="3233" w:type="dxa"/>
            <w:tcBorders>
              <w:top w:val="single" w:sz="4" w:space="0" w:color="000000"/>
              <w:left w:val="single" w:sz="4" w:space="0" w:color="000000"/>
              <w:bottom w:val="single" w:sz="4" w:space="0" w:color="000000"/>
              <w:right w:val="single" w:sz="4" w:space="0" w:color="000000"/>
            </w:tcBorders>
          </w:tcPr>
          <w:p w14:paraId="4E4208FB" w14:textId="77777777" w:rsidR="005C5D01" w:rsidRDefault="005C5D01" w:rsidP="005C5D01">
            <w:pPr>
              <w:spacing w:after="0" w:line="259" w:lineRule="auto"/>
              <w:ind w:left="113" w:right="49" w:firstLine="0"/>
            </w:pPr>
            <w:r>
              <w:rPr>
                <w:b/>
                <w:sz w:val="20"/>
              </w:rPr>
              <w:t xml:space="preserve">Залог имущества и имущественных прав, </w:t>
            </w:r>
            <w:r>
              <w:rPr>
                <w:sz w:val="20"/>
              </w:rPr>
              <w:t>за исключением имущества, перечисленного в Приложении № 3 к стандарту Фонда № СФТ-02:</w:t>
            </w:r>
            <w:r>
              <w:rPr>
                <w:b/>
                <w:sz w:val="20"/>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565F63BE" w14:textId="77777777" w:rsidR="005C5D01" w:rsidRDefault="005C5D01" w:rsidP="005C5D01">
            <w:pPr>
              <w:spacing w:after="0" w:line="259" w:lineRule="auto"/>
              <w:ind w:left="110" w:right="0" w:firstLine="0"/>
              <w:jc w:val="center"/>
            </w:pPr>
            <w:r>
              <w:rPr>
                <w:sz w:val="20"/>
              </w:rPr>
              <w:t xml:space="preserve"> </w:t>
            </w:r>
          </w:p>
        </w:tc>
        <w:tc>
          <w:tcPr>
            <w:tcW w:w="4107" w:type="dxa"/>
            <w:tcBorders>
              <w:top w:val="single" w:sz="4" w:space="0" w:color="000000"/>
              <w:left w:val="single" w:sz="4" w:space="0" w:color="000000"/>
              <w:bottom w:val="single" w:sz="4" w:space="0" w:color="000000"/>
              <w:right w:val="single" w:sz="4" w:space="0" w:color="000000"/>
            </w:tcBorders>
          </w:tcPr>
          <w:p w14:paraId="76D7E9D0" w14:textId="77777777" w:rsidR="005C5D01" w:rsidRDefault="005C5D01" w:rsidP="005C5D01">
            <w:pPr>
              <w:spacing w:after="0" w:line="259" w:lineRule="auto"/>
              <w:ind w:left="113" w:right="45" w:firstLine="0"/>
              <w:rPr>
                <w:sz w:val="20"/>
              </w:rPr>
            </w:pPr>
            <w:r>
              <w:rPr>
                <w:sz w:val="20"/>
              </w:rPr>
              <w:t>Отчет об оценке объекта залога должен быть выполнен оценщиком, имеющим соответствующий предмету оценки квалификационный аттестат, копия которого прикладывается к отчету об оценке</w:t>
            </w:r>
            <w:r>
              <w:rPr>
                <w:sz w:val="20"/>
                <w:vertAlign w:val="superscript"/>
              </w:rPr>
              <w:footnoteReference w:id="2"/>
            </w:r>
            <w:r>
              <w:rPr>
                <w:sz w:val="20"/>
              </w:rPr>
              <w:t xml:space="preserve"> </w:t>
            </w:r>
          </w:p>
          <w:p w14:paraId="248252B5" w14:textId="38FE32AB" w:rsidR="00CE4244" w:rsidRDefault="00CE4244" w:rsidP="005C5D01">
            <w:pPr>
              <w:spacing w:after="0" w:line="259" w:lineRule="auto"/>
              <w:ind w:left="113" w:right="45" w:firstLine="0"/>
            </w:pPr>
            <w:r w:rsidRPr="00CE4244">
              <w:rPr>
                <w:sz w:val="20"/>
                <w:szCs w:val="18"/>
              </w:rPr>
              <w:t>Имущество не должно быть предметом финансовой аренды (лизинга) или аренды, предусматривающей выкуп арендованного имущества, или получено собственником для обеспечения обязательств пожизненного содержания, пожизненной или периодической ренты.</w:t>
            </w:r>
          </w:p>
        </w:tc>
      </w:tr>
      <w:tr w:rsidR="00981548" w14:paraId="5C562F69" w14:textId="77777777" w:rsidTr="00981548">
        <w:trPr>
          <w:trHeight w:val="790"/>
        </w:trPr>
        <w:tc>
          <w:tcPr>
            <w:tcW w:w="538" w:type="dxa"/>
            <w:tcBorders>
              <w:top w:val="single" w:sz="4" w:space="0" w:color="000000"/>
              <w:left w:val="single" w:sz="4" w:space="0" w:color="000000"/>
              <w:bottom w:val="single" w:sz="4" w:space="0" w:color="000000"/>
              <w:right w:val="single" w:sz="4" w:space="0" w:color="000000"/>
            </w:tcBorders>
          </w:tcPr>
          <w:p w14:paraId="175401D4" w14:textId="77777777" w:rsidR="00981548" w:rsidRDefault="00981548" w:rsidP="005C5D01">
            <w:pPr>
              <w:spacing w:after="0" w:line="259" w:lineRule="auto"/>
              <w:ind w:left="64" w:right="0" w:firstLine="0"/>
              <w:jc w:val="center"/>
              <w:rPr>
                <w:b/>
                <w:sz w:val="20"/>
              </w:rPr>
            </w:pPr>
          </w:p>
        </w:tc>
        <w:tc>
          <w:tcPr>
            <w:tcW w:w="3233" w:type="dxa"/>
            <w:tcBorders>
              <w:top w:val="single" w:sz="4" w:space="0" w:color="000000"/>
              <w:left w:val="single" w:sz="4" w:space="0" w:color="000000"/>
              <w:bottom w:val="single" w:sz="4" w:space="0" w:color="000000"/>
              <w:right w:val="single" w:sz="4" w:space="0" w:color="000000"/>
            </w:tcBorders>
          </w:tcPr>
          <w:p w14:paraId="0CD6E468" w14:textId="637AF480" w:rsidR="00981548" w:rsidRPr="00981548" w:rsidRDefault="00981548" w:rsidP="005C5D01">
            <w:pPr>
              <w:spacing w:after="0" w:line="259" w:lineRule="auto"/>
              <w:ind w:left="113" w:right="49" w:firstLine="0"/>
              <w:rPr>
                <w:b/>
                <w:bCs/>
                <w:sz w:val="20"/>
                <w:szCs w:val="18"/>
              </w:rPr>
            </w:pPr>
            <w:r w:rsidRPr="00981548">
              <w:rPr>
                <w:b/>
                <w:bCs/>
                <w:sz w:val="20"/>
                <w:szCs w:val="18"/>
              </w:rPr>
              <w:t>Драгоценные металлы</w:t>
            </w:r>
          </w:p>
        </w:tc>
        <w:tc>
          <w:tcPr>
            <w:tcW w:w="1752" w:type="dxa"/>
            <w:tcBorders>
              <w:top w:val="single" w:sz="4" w:space="0" w:color="000000"/>
              <w:left w:val="single" w:sz="4" w:space="0" w:color="000000"/>
              <w:bottom w:val="single" w:sz="4" w:space="0" w:color="000000"/>
              <w:right w:val="single" w:sz="4" w:space="0" w:color="000000"/>
            </w:tcBorders>
          </w:tcPr>
          <w:p w14:paraId="2B051AB6" w14:textId="1B37F999" w:rsidR="00981548" w:rsidRPr="00981548" w:rsidRDefault="00981548" w:rsidP="005C5D01">
            <w:pPr>
              <w:spacing w:after="0" w:line="259" w:lineRule="auto"/>
              <w:ind w:left="110" w:right="0" w:firstLine="0"/>
              <w:jc w:val="center"/>
              <w:rPr>
                <w:b/>
                <w:bCs/>
                <w:sz w:val="20"/>
                <w:szCs w:val="18"/>
              </w:rPr>
            </w:pPr>
            <w:r w:rsidRPr="00981548">
              <w:rPr>
                <w:b/>
                <w:bCs/>
                <w:sz w:val="20"/>
                <w:szCs w:val="18"/>
              </w:rPr>
              <w:t>0%</w:t>
            </w:r>
          </w:p>
        </w:tc>
        <w:tc>
          <w:tcPr>
            <w:tcW w:w="4107" w:type="dxa"/>
            <w:tcBorders>
              <w:top w:val="single" w:sz="4" w:space="0" w:color="000000"/>
              <w:left w:val="single" w:sz="4" w:space="0" w:color="000000"/>
              <w:bottom w:val="single" w:sz="4" w:space="0" w:color="000000"/>
              <w:right w:val="single" w:sz="4" w:space="0" w:color="000000"/>
            </w:tcBorders>
          </w:tcPr>
          <w:p w14:paraId="7DDE830B" w14:textId="49FE4486" w:rsidR="00981548" w:rsidRDefault="00981548" w:rsidP="005C5D01">
            <w:pPr>
              <w:spacing w:after="0" w:line="259" w:lineRule="auto"/>
              <w:ind w:left="113" w:right="45" w:firstLine="0"/>
              <w:rPr>
                <w:sz w:val="20"/>
              </w:rPr>
            </w:pPr>
            <w:r w:rsidRPr="00981548">
              <w:rPr>
                <w:sz w:val="20"/>
                <w:szCs w:val="18"/>
              </w:rPr>
              <w:t xml:space="preserve">В залог принимаются драгоценные металлы в стандартных и/или мерных слитках, соответствующие государственным и отраслевым стандартам Российской Федерации и международным стандартам качества, а также драгоценные металлы, </w:t>
            </w:r>
            <w:r w:rsidRPr="00981548">
              <w:rPr>
                <w:sz w:val="20"/>
                <w:szCs w:val="18"/>
              </w:rPr>
              <w:lastRenderedPageBreak/>
              <w:t xml:space="preserve">отражаемые на обезличенных металлических счетах. Обязательно хранение закладываемого имущества </w:t>
            </w:r>
            <w:r>
              <w:t xml:space="preserve">в </w:t>
            </w:r>
            <w:r w:rsidRPr="00981548">
              <w:rPr>
                <w:sz w:val="20"/>
                <w:szCs w:val="18"/>
              </w:rPr>
              <w:t>кредитных организациях, в которых могут быть открыты счета и размещены временно свободные денежные средства Фонда, перечень которых определяется приказом Директора Фонда</w:t>
            </w:r>
          </w:p>
        </w:tc>
      </w:tr>
      <w:tr w:rsidR="005C5D01" w14:paraId="2C7E34D6" w14:textId="77777777" w:rsidTr="00A57798">
        <w:trPr>
          <w:trHeight w:val="238"/>
        </w:trPr>
        <w:tc>
          <w:tcPr>
            <w:tcW w:w="538" w:type="dxa"/>
            <w:tcBorders>
              <w:top w:val="single" w:sz="4" w:space="0" w:color="000000"/>
              <w:left w:val="single" w:sz="4" w:space="0" w:color="000000"/>
              <w:bottom w:val="single" w:sz="4" w:space="0" w:color="000000"/>
              <w:right w:val="single" w:sz="4" w:space="0" w:color="000000"/>
            </w:tcBorders>
          </w:tcPr>
          <w:p w14:paraId="7200837D" w14:textId="77777777" w:rsidR="005C5D01" w:rsidRDefault="005C5D01" w:rsidP="005C5D01">
            <w:pPr>
              <w:spacing w:after="0" w:line="259" w:lineRule="auto"/>
              <w:ind w:right="0" w:firstLine="0"/>
              <w:jc w:val="left"/>
            </w:pPr>
            <w:r>
              <w:rPr>
                <w:b/>
                <w:sz w:val="20"/>
              </w:rPr>
              <w:lastRenderedPageBreak/>
              <w:t xml:space="preserve"> </w:t>
            </w:r>
          </w:p>
        </w:tc>
        <w:tc>
          <w:tcPr>
            <w:tcW w:w="3233" w:type="dxa"/>
            <w:tcBorders>
              <w:top w:val="single" w:sz="4" w:space="0" w:color="000000"/>
              <w:left w:val="single" w:sz="4" w:space="0" w:color="000000"/>
              <w:bottom w:val="single" w:sz="4" w:space="0" w:color="000000"/>
              <w:right w:val="single" w:sz="4" w:space="0" w:color="000000"/>
            </w:tcBorders>
          </w:tcPr>
          <w:p w14:paraId="18C14CD9" w14:textId="77777777" w:rsidR="005C5D01" w:rsidRDefault="005C5D01" w:rsidP="005C5D01">
            <w:pPr>
              <w:spacing w:after="0" w:line="259" w:lineRule="auto"/>
              <w:ind w:left="113" w:right="0" w:firstLine="0"/>
              <w:jc w:val="left"/>
            </w:pPr>
            <w:r>
              <w:rPr>
                <w:b/>
                <w:i/>
                <w:sz w:val="20"/>
              </w:rPr>
              <w:t xml:space="preserve">Недвижимое имущество: </w:t>
            </w:r>
          </w:p>
        </w:tc>
        <w:tc>
          <w:tcPr>
            <w:tcW w:w="1752" w:type="dxa"/>
            <w:tcBorders>
              <w:top w:val="single" w:sz="4" w:space="0" w:color="000000"/>
              <w:left w:val="single" w:sz="4" w:space="0" w:color="000000"/>
              <w:bottom w:val="single" w:sz="4" w:space="0" w:color="000000"/>
              <w:right w:val="single" w:sz="4" w:space="0" w:color="000000"/>
            </w:tcBorders>
          </w:tcPr>
          <w:p w14:paraId="4AADCCD1" w14:textId="77777777" w:rsidR="005C5D01" w:rsidRDefault="005C5D01" w:rsidP="005C5D01">
            <w:pPr>
              <w:spacing w:after="0" w:line="259" w:lineRule="auto"/>
              <w:ind w:left="110" w:right="0" w:firstLine="0"/>
              <w:jc w:val="center"/>
            </w:pPr>
            <w:r>
              <w:rPr>
                <w:sz w:val="20"/>
              </w:rPr>
              <w:t xml:space="preserve"> </w:t>
            </w:r>
          </w:p>
        </w:tc>
        <w:tc>
          <w:tcPr>
            <w:tcW w:w="4107" w:type="dxa"/>
            <w:tcBorders>
              <w:top w:val="single" w:sz="4" w:space="0" w:color="000000"/>
              <w:left w:val="single" w:sz="4" w:space="0" w:color="000000"/>
              <w:bottom w:val="single" w:sz="4" w:space="0" w:color="000000"/>
              <w:right w:val="single" w:sz="4" w:space="0" w:color="000000"/>
            </w:tcBorders>
          </w:tcPr>
          <w:p w14:paraId="0897394F" w14:textId="77777777" w:rsidR="005C5D01" w:rsidRDefault="005C5D01" w:rsidP="005C5D01">
            <w:pPr>
              <w:spacing w:after="0" w:line="259" w:lineRule="auto"/>
              <w:ind w:left="113" w:right="0" w:firstLine="0"/>
              <w:jc w:val="left"/>
            </w:pPr>
            <w:r>
              <w:rPr>
                <w:sz w:val="20"/>
              </w:rPr>
              <w:t xml:space="preserve"> </w:t>
            </w:r>
          </w:p>
        </w:tc>
      </w:tr>
      <w:tr w:rsidR="005C5D01" w14:paraId="3C3C53C8" w14:textId="77777777" w:rsidTr="00A57798">
        <w:trPr>
          <w:trHeight w:val="1387"/>
        </w:trPr>
        <w:tc>
          <w:tcPr>
            <w:tcW w:w="538" w:type="dxa"/>
            <w:tcBorders>
              <w:top w:val="single" w:sz="4" w:space="0" w:color="000000"/>
              <w:left w:val="single" w:sz="4" w:space="0" w:color="000000"/>
              <w:bottom w:val="single" w:sz="4" w:space="0" w:color="000000"/>
              <w:right w:val="single" w:sz="4" w:space="0" w:color="000000"/>
            </w:tcBorders>
          </w:tcPr>
          <w:p w14:paraId="00BDC4DF" w14:textId="77777777" w:rsidR="005C5D01" w:rsidRDefault="005C5D01" w:rsidP="005C5D01">
            <w:pPr>
              <w:spacing w:after="0" w:line="259" w:lineRule="auto"/>
              <w:ind w:right="0" w:firstLine="0"/>
              <w:jc w:val="left"/>
            </w:pPr>
            <w:r>
              <w:rPr>
                <w:sz w:val="20"/>
              </w:rPr>
              <w:t xml:space="preserve"> </w:t>
            </w:r>
          </w:p>
        </w:tc>
        <w:tc>
          <w:tcPr>
            <w:tcW w:w="3233" w:type="dxa"/>
            <w:tcBorders>
              <w:top w:val="single" w:sz="4" w:space="0" w:color="000000"/>
              <w:left w:val="single" w:sz="4" w:space="0" w:color="000000"/>
              <w:bottom w:val="single" w:sz="4" w:space="0" w:color="000000"/>
              <w:right w:val="single" w:sz="4" w:space="0" w:color="000000"/>
            </w:tcBorders>
          </w:tcPr>
          <w:p w14:paraId="0B364B4C" w14:textId="77777777" w:rsidR="005C5D01" w:rsidRDefault="005C5D01" w:rsidP="005C5D01">
            <w:pPr>
              <w:spacing w:after="0" w:line="259" w:lineRule="auto"/>
              <w:ind w:left="113" w:right="0" w:firstLine="0"/>
              <w:jc w:val="left"/>
            </w:pPr>
            <w:r>
              <w:rPr>
                <w:i/>
                <w:sz w:val="20"/>
              </w:rPr>
              <w:t>Жилая недвижимость</w:t>
            </w:r>
            <w:r>
              <w:rPr>
                <w:sz w:val="20"/>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3CF36380" w14:textId="1795B9C3" w:rsidR="005C5D01" w:rsidRDefault="005C5D01" w:rsidP="005C5D01">
            <w:pPr>
              <w:spacing w:after="0" w:line="259" w:lineRule="auto"/>
              <w:ind w:left="63" w:right="0" w:firstLine="0"/>
              <w:jc w:val="center"/>
            </w:pPr>
            <w:r>
              <w:rPr>
                <w:b/>
                <w:sz w:val="20"/>
              </w:rPr>
              <w:t>1</w:t>
            </w:r>
            <w:r w:rsidR="00981548">
              <w:rPr>
                <w:b/>
                <w:sz w:val="20"/>
              </w:rPr>
              <w:t>5</w:t>
            </w:r>
            <w:r>
              <w:rPr>
                <w:b/>
                <w:sz w:val="20"/>
              </w:rPr>
              <w:t>-2</w:t>
            </w:r>
            <w:r w:rsidR="00193201">
              <w:rPr>
                <w:b/>
                <w:sz w:val="20"/>
              </w:rPr>
              <w:t>2,5</w:t>
            </w:r>
            <w:r>
              <w:rPr>
                <w:b/>
                <w:sz w:val="20"/>
              </w:rPr>
              <w:t xml:space="preserve">% </w:t>
            </w:r>
          </w:p>
          <w:p w14:paraId="603CF004" w14:textId="67AF48E2" w:rsidR="005C5D01" w:rsidRDefault="005C5D01" w:rsidP="005C5D01">
            <w:pPr>
              <w:spacing w:after="0" w:line="259" w:lineRule="auto"/>
              <w:ind w:left="110" w:right="0" w:firstLine="0"/>
              <w:jc w:val="center"/>
            </w:pPr>
          </w:p>
        </w:tc>
        <w:tc>
          <w:tcPr>
            <w:tcW w:w="4107" w:type="dxa"/>
            <w:tcBorders>
              <w:top w:val="single" w:sz="4" w:space="0" w:color="000000"/>
              <w:left w:val="single" w:sz="4" w:space="0" w:color="000000"/>
              <w:bottom w:val="single" w:sz="4" w:space="0" w:color="000000"/>
              <w:right w:val="single" w:sz="4" w:space="0" w:color="000000"/>
            </w:tcBorders>
          </w:tcPr>
          <w:p w14:paraId="1CD0A8C4" w14:textId="77777777" w:rsidR="005C5D01" w:rsidRDefault="005C5D01" w:rsidP="005C5D01">
            <w:pPr>
              <w:spacing w:after="1" w:line="240" w:lineRule="auto"/>
              <w:ind w:left="113" w:right="48" w:firstLine="0"/>
            </w:pPr>
            <w:r>
              <w:rPr>
                <w:sz w:val="20"/>
              </w:rPr>
              <w:t xml:space="preserve">В залог принимаются квартиры, апартаменты, многоквартирные жилые дома/комплексы, коттеджи, таунхаусы и др. </w:t>
            </w:r>
          </w:p>
          <w:p w14:paraId="0BE71C7B" w14:textId="77777777" w:rsidR="005C5D01" w:rsidRDefault="005C5D01" w:rsidP="005C5D01">
            <w:pPr>
              <w:spacing w:after="0" w:line="259" w:lineRule="auto"/>
              <w:ind w:left="113" w:right="47" w:firstLine="0"/>
            </w:pPr>
            <w:r>
              <w:rPr>
                <w:sz w:val="20"/>
              </w:rPr>
              <w:t>Не принимается в залог недвижимость граждан, на которую в соответствии с законодательством не может быть обращено взыскание.</w:t>
            </w:r>
            <w:r>
              <w:rPr>
                <w:b/>
                <w:sz w:val="20"/>
              </w:rPr>
              <w:t xml:space="preserve"> </w:t>
            </w:r>
          </w:p>
        </w:tc>
      </w:tr>
      <w:tr w:rsidR="005C5D01" w14:paraId="639F0593" w14:textId="77777777" w:rsidTr="00A57798">
        <w:trPr>
          <w:trHeight w:val="4829"/>
        </w:trPr>
        <w:tc>
          <w:tcPr>
            <w:tcW w:w="538" w:type="dxa"/>
            <w:tcBorders>
              <w:top w:val="single" w:sz="4" w:space="0" w:color="000000"/>
              <w:left w:val="single" w:sz="4" w:space="0" w:color="000000"/>
              <w:bottom w:val="single" w:sz="4" w:space="0" w:color="000000"/>
              <w:right w:val="single" w:sz="4" w:space="0" w:color="000000"/>
            </w:tcBorders>
          </w:tcPr>
          <w:p w14:paraId="7166E2DD" w14:textId="77777777" w:rsidR="005C5D01" w:rsidRDefault="005C5D01" w:rsidP="005C5D01">
            <w:pPr>
              <w:spacing w:after="0" w:line="259" w:lineRule="auto"/>
              <w:ind w:right="0" w:firstLine="0"/>
              <w:jc w:val="left"/>
            </w:pPr>
            <w:r>
              <w:rPr>
                <w:sz w:val="20"/>
              </w:rPr>
              <w:t xml:space="preserve"> </w:t>
            </w:r>
          </w:p>
        </w:tc>
        <w:tc>
          <w:tcPr>
            <w:tcW w:w="3233" w:type="dxa"/>
            <w:tcBorders>
              <w:top w:val="single" w:sz="4" w:space="0" w:color="000000"/>
              <w:left w:val="single" w:sz="4" w:space="0" w:color="000000"/>
              <w:bottom w:val="single" w:sz="4" w:space="0" w:color="000000"/>
              <w:right w:val="single" w:sz="4" w:space="0" w:color="000000"/>
            </w:tcBorders>
          </w:tcPr>
          <w:p w14:paraId="131A35DE" w14:textId="77777777" w:rsidR="005C5D01" w:rsidRDefault="005C5D01" w:rsidP="005C5D01">
            <w:pPr>
              <w:spacing w:after="0" w:line="259" w:lineRule="auto"/>
              <w:ind w:left="113" w:right="0" w:firstLine="0"/>
              <w:jc w:val="left"/>
            </w:pPr>
            <w:r>
              <w:rPr>
                <w:i/>
                <w:sz w:val="20"/>
              </w:rPr>
              <w:t>Коммерческая недвижимость</w:t>
            </w:r>
            <w:r>
              <w:rPr>
                <w:sz w:val="20"/>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6F91499B" w14:textId="3C59B9B3" w:rsidR="005C5D01" w:rsidRDefault="00193201" w:rsidP="005C5D01">
            <w:pPr>
              <w:spacing w:after="0" w:line="259" w:lineRule="auto"/>
              <w:ind w:left="63" w:right="0" w:firstLine="0"/>
              <w:jc w:val="center"/>
            </w:pPr>
            <w:r>
              <w:rPr>
                <w:b/>
                <w:sz w:val="20"/>
              </w:rPr>
              <w:t>20</w:t>
            </w:r>
            <w:r w:rsidR="005C5D01">
              <w:rPr>
                <w:b/>
                <w:sz w:val="20"/>
              </w:rPr>
              <w:t>-</w:t>
            </w:r>
            <w:r>
              <w:rPr>
                <w:b/>
                <w:sz w:val="20"/>
              </w:rPr>
              <w:t>30</w:t>
            </w:r>
            <w:r w:rsidR="005C5D01">
              <w:rPr>
                <w:b/>
                <w:sz w:val="20"/>
              </w:rPr>
              <w:t xml:space="preserve">% </w:t>
            </w:r>
          </w:p>
        </w:tc>
        <w:tc>
          <w:tcPr>
            <w:tcW w:w="4107" w:type="dxa"/>
            <w:tcBorders>
              <w:top w:val="single" w:sz="4" w:space="0" w:color="000000"/>
              <w:left w:val="single" w:sz="4" w:space="0" w:color="000000"/>
              <w:bottom w:val="single" w:sz="4" w:space="0" w:color="000000"/>
              <w:right w:val="single" w:sz="4" w:space="0" w:color="000000"/>
            </w:tcBorders>
          </w:tcPr>
          <w:p w14:paraId="33C1B5D9" w14:textId="75B0BA28" w:rsidR="005C5D01" w:rsidRDefault="005C5D01" w:rsidP="005C5D01">
            <w:pPr>
              <w:spacing w:after="0" w:line="241" w:lineRule="auto"/>
              <w:ind w:left="113" w:right="44" w:firstLine="0"/>
            </w:pPr>
            <w:r>
              <w:rPr>
                <w:sz w:val="20"/>
              </w:rPr>
              <w:t>Для целей принятия в залог к коммерческой недвижимости относятся офисы и офисные центры, магазины, торговые и торгово</w:t>
            </w:r>
            <w:r w:rsidR="002C68FD">
              <w:rPr>
                <w:sz w:val="20"/>
              </w:rPr>
              <w:t>-</w:t>
            </w:r>
            <w:r>
              <w:rPr>
                <w:sz w:val="20"/>
              </w:rPr>
              <w:t xml:space="preserve">развлекательные центры, торгово-выставочные комплексы, бизнес-парки, оптовые базы, объекты туристической инфраструктуры (гостиницы, пансионаты и т.п.), отели и рестораны, аквапарки, складские комплексы и логистические центры, машиноместа, гаражные комплексы, нежилые помещения коммерческого назначения в жилых домах, многофункциональные комплексы, содержащие площади различного назначения (жилые, коммерческие, фитнес-центры, АЗС (включая земельный участок, сооружения и оборудование) и др.  </w:t>
            </w:r>
          </w:p>
          <w:p w14:paraId="296A0719" w14:textId="77777777" w:rsidR="005C5D01" w:rsidRDefault="005C5D01" w:rsidP="005C5D01">
            <w:pPr>
              <w:spacing w:after="0" w:line="259" w:lineRule="auto"/>
              <w:ind w:left="113" w:right="47" w:firstLine="0"/>
            </w:pPr>
            <w:r>
              <w:rPr>
                <w:sz w:val="20"/>
              </w:rPr>
              <w:t>Права долгосрочной аренды на земельные участки, на которых расположены указанные объекты коммерческой недвижимости, принимаются в залог при условии, что срок аренды превышает не менее, чем на 5 лет срок возврата Займа</w:t>
            </w:r>
            <w:r>
              <w:rPr>
                <w:b/>
                <w:sz w:val="20"/>
              </w:rPr>
              <w:t xml:space="preserve"> </w:t>
            </w:r>
          </w:p>
        </w:tc>
      </w:tr>
      <w:tr w:rsidR="005C5D01" w14:paraId="2793B21D" w14:textId="77777777" w:rsidTr="00554662">
        <w:trPr>
          <w:trHeight w:val="2535"/>
        </w:trPr>
        <w:tc>
          <w:tcPr>
            <w:tcW w:w="538" w:type="dxa"/>
            <w:tcBorders>
              <w:top w:val="single" w:sz="4" w:space="0" w:color="000000"/>
              <w:left w:val="single" w:sz="4" w:space="0" w:color="000000"/>
              <w:bottom w:val="single" w:sz="4" w:space="0" w:color="auto"/>
              <w:right w:val="single" w:sz="4" w:space="0" w:color="000000"/>
            </w:tcBorders>
          </w:tcPr>
          <w:p w14:paraId="66A5BAC8" w14:textId="77777777" w:rsidR="005C5D01" w:rsidRDefault="005C5D01" w:rsidP="005C5D01">
            <w:pPr>
              <w:spacing w:after="0" w:line="259" w:lineRule="auto"/>
              <w:ind w:right="0" w:firstLine="0"/>
              <w:jc w:val="left"/>
            </w:pPr>
            <w:r>
              <w:rPr>
                <w:sz w:val="20"/>
              </w:rPr>
              <w:t xml:space="preserve"> </w:t>
            </w:r>
          </w:p>
        </w:tc>
        <w:tc>
          <w:tcPr>
            <w:tcW w:w="3233" w:type="dxa"/>
            <w:tcBorders>
              <w:top w:val="single" w:sz="4" w:space="0" w:color="000000"/>
              <w:left w:val="single" w:sz="4" w:space="0" w:color="000000"/>
              <w:bottom w:val="single" w:sz="4" w:space="0" w:color="auto"/>
              <w:right w:val="single" w:sz="4" w:space="0" w:color="000000"/>
            </w:tcBorders>
          </w:tcPr>
          <w:p w14:paraId="7EFB7773" w14:textId="77777777" w:rsidR="005C5D01" w:rsidRDefault="005C5D01" w:rsidP="005C5D01">
            <w:pPr>
              <w:spacing w:after="0" w:line="259" w:lineRule="auto"/>
              <w:ind w:left="113" w:right="0" w:firstLine="0"/>
              <w:jc w:val="left"/>
            </w:pPr>
            <w:r>
              <w:rPr>
                <w:i/>
                <w:sz w:val="20"/>
              </w:rPr>
              <w:t>Промышленная недвижимость</w:t>
            </w:r>
            <w:r>
              <w:rPr>
                <w:sz w:val="20"/>
              </w:rPr>
              <w:t xml:space="preserve">  </w:t>
            </w:r>
          </w:p>
        </w:tc>
        <w:tc>
          <w:tcPr>
            <w:tcW w:w="1752" w:type="dxa"/>
            <w:tcBorders>
              <w:top w:val="single" w:sz="4" w:space="0" w:color="000000"/>
              <w:left w:val="single" w:sz="4" w:space="0" w:color="000000"/>
              <w:bottom w:val="single" w:sz="4" w:space="0" w:color="auto"/>
              <w:right w:val="single" w:sz="4" w:space="0" w:color="000000"/>
            </w:tcBorders>
          </w:tcPr>
          <w:p w14:paraId="10226D18" w14:textId="57C07174" w:rsidR="005C5D01" w:rsidRDefault="005C5D01" w:rsidP="005C5D01">
            <w:pPr>
              <w:spacing w:after="0" w:line="259" w:lineRule="auto"/>
              <w:ind w:left="63" w:right="0" w:firstLine="0"/>
              <w:jc w:val="center"/>
            </w:pPr>
            <w:r>
              <w:rPr>
                <w:b/>
                <w:sz w:val="20"/>
              </w:rPr>
              <w:t>2</w:t>
            </w:r>
            <w:r w:rsidR="00193201">
              <w:rPr>
                <w:b/>
                <w:sz w:val="20"/>
              </w:rPr>
              <w:t>5</w:t>
            </w:r>
            <w:r>
              <w:rPr>
                <w:b/>
                <w:sz w:val="20"/>
              </w:rPr>
              <w:t>-3</w:t>
            </w:r>
            <w:r w:rsidR="00193201">
              <w:rPr>
                <w:b/>
                <w:sz w:val="20"/>
              </w:rPr>
              <w:t>7,5</w:t>
            </w:r>
            <w:r>
              <w:rPr>
                <w:b/>
                <w:sz w:val="20"/>
              </w:rPr>
              <w:t xml:space="preserve">% </w:t>
            </w:r>
          </w:p>
          <w:p w14:paraId="13BFDE01" w14:textId="77777777" w:rsidR="005C5D01" w:rsidRDefault="005C5D01" w:rsidP="005C5D01">
            <w:pPr>
              <w:spacing w:after="0" w:line="259" w:lineRule="auto"/>
              <w:ind w:left="110" w:right="0" w:firstLine="0"/>
              <w:jc w:val="center"/>
            </w:pPr>
            <w:r>
              <w:rPr>
                <w:b/>
                <w:sz w:val="20"/>
              </w:rPr>
              <w:t xml:space="preserve"> </w:t>
            </w:r>
          </w:p>
        </w:tc>
        <w:tc>
          <w:tcPr>
            <w:tcW w:w="4107" w:type="dxa"/>
            <w:tcBorders>
              <w:top w:val="single" w:sz="4" w:space="0" w:color="000000"/>
              <w:left w:val="single" w:sz="4" w:space="0" w:color="000000"/>
              <w:bottom w:val="single" w:sz="4" w:space="0" w:color="auto"/>
              <w:right w:val="single" w:sz="4" w:space="0" w:color="000000"/>
            </w:tcBorders>
          </w:tcPr>
          <w:p w14:paraId="42B48D40" w14:textId="77777777" w:rsidR="005C5D01" w:rsidRDefault="005C5D01" w:rsidP="005C5D01">
            <w:pPr>
              <w:spacing w:after="1" w:line="240" w:lineRule="auto"/>
              <w:ind w:left="113" w:right="48" w:firstLine="0"/>
            </w:pPr>
            <w:r>
              <w:rPr>
                <w:sz w:val="20"/>
              </w:rPr>
              <w:t xml:space="preserve">Для целей принятия в залог к промышленной недвижимости относятся здания, сооружения, склады, иные объекты недвижимого имущества, предназначенные для выпуска промышленной продукции и/или технологически задействованные в производственной деятельности. </w:t>
            </w:r>
          </w:p>
          <w:p w14:paraId="239BB5A1" w14:textId="77777777" w:rsidR="005C5D01" w:rsidRDefault="005C5D01" w:rsidP="005C5D01">
            <w:pPr>
              <w:spacing w:after="0" w:line="259" w:lineRule="auto"/>
              <w:ind w:left="113" w:right="48" w:firstLine="0"/>
            </w:pPr>
            <w:r>
              <w:rPr>
                <w:sz w:val="20"/>
              </w:rPr>
              <w:t xml:space="preserve">Права долгосрочной аренды на земельные участки, на которых расположены указанные объекты (при условии, что срок аренды превышает не менее, чем на 5 лет срок возврата Займа) </w:t>
            </w:r>
          </w:p>
        </w:tc>
      </w:tr>
      <w:tr w:rsidR="005C5D01" w14:paraId="5CA7EC47" w14:textId="77777777" w:rsidTr="00554662">
        <w:trPr>
          <w:trHeight w:val="1984"/>
        </w:trPr>
        <w:tc>
          <w:tcPr>
            <w:tcW w:w="538" w:type="dxa"/>
            <w:tcBorders>
              <w:top w:val="single" w:sz="4" w:space="0" w:color="auto"/>
              <w:left w:val="single" w:sz="4" w:space="0" w:color="auto"/>
              <w:bottom w:val="single" w:sz="4" w:space="0" w:color="auto"/>
              <w:right w:val="single" w:sz="4" w:space="0" w:color="auto"/>
            </w:tcBorders>
          </w:tcPr>
          <w:p w14:paraId="6824C718" w14:textId="77777777" w:rsidR="005C5D01" w:rsidRDefault="005C5D01" w:rsidP="005C5D01">
            <w:pPr>
              <w:spacing w:after="0" w:line="259" w:lineRule="auto"/>
              <w:ind w:right="0" w:firstLine="0"/>
              <w:jc w:val="left"/>
            </w:pPr>
            <w:r>
              <w:rPr>
                <w:sz w:val="20"/>
              </w:rPr>
              <w:lastRenderedPageBreak/>
              <w:t xml:space="preserve"> </w:t>
            </w:r>
          </w:p>
        </w:tc>
        <w:tc>
          <w:tcPr>
            <w:tcW w:w="3233" w:type="dxa"/>
            <w:tcBorders>
              <w:top w:val="single" w:sz="4" w:space="0" w:color="auto"/>
              <w:left w:val="single" w:sz="4" w:space="0" w:color="auto"/>
              <w:bottom w:val="single" w:sz="4" w:space="0" w:color="auto"/>
              <w:right w:val="single" w:sz="4" w:space="0" w:color="auto"/>
            </w:tcBorders>
          </w:tcPr>
          <w:p w14:paraId="65F6C546" w14:textId="77777777" w:rsidR="005C5D01" w:rsidRDefault="005C5D01" w:rsidP="005C5D01">
            <w:pPr>
              <w:spacing w:after="0" w:line="259" w:lineRule="auto"/>
              <w:ind w:left="113" w:right="0" w:firstLine="0"/>
              <w:jc w:val="left"/>
            </w:pPr>
            <w:r>
              <w:rPr>
                <w:i/>
                <w:sz w:val="20"/>
              </w:rPr>
              <w:t>Земельные участки</w:t>
            </w:r>
            <w:r>
              <w:rPr>
                <w:sz w:val="20"/>
              </w:rPr>
              <w:t xml:space="preserve">  </w:t>
            </w:r>
          </w:p>
        </w:tc>
        <w:tc>
          <w:tcPr>
            <w:tcW w:w="1752" w:type="dxa"/>
            <w:tcBorders>
              <w:top w:val="single" w:sz="4" w:space="0" w:color="auto"/>
              <w:left w:val="single" w:sz="4" w:space="0" w:color="auto"/>
              <w:bottom w:val="single" w:sz="4" w:space="0" w:color="auto"/>
              <w:right w:val="single" w:sz="4" w:space="0" w:color="auto"/>
            </w:tcBorders>
          </w:tcPr>
          <w:p w14:paraId="46FAFB4D" w14:textId="363A2236" w:rsidR="005C5D01" w:rsidRDefault="005C5D01" w:rsidP="005C5D01">
            <w:pPr>
              <w:spacing w:after="0" w:line="259" w:lineRule="auto"/>
              <w:ind w:left="63" w:right="0" w:firstLine="0"/>
              <w:jc w:val="center"/>
            </w:pPr>
            <w:r>
              <w:rPr>
                <w:b/>
                <w:sz w:val="20"/>
              </w:rPr>
              <w:t>2</w:t>
            </w:r>
            <w:r w:rsidR="00193201">
              <w:rPr>
                <w:b/>
                <w:sz w:val="20"/>
              </w:rPr>
              <w:t>5</w:t>
            </w:r>
            <w:r>
              <w:rPr>
                <w:b/>
                <w:sz w:val="20"/>
              </w:rPr>
              <w:t>-3</w:t>
            </w:r>
            <w:r w:rsidR="00193201">
              <w:rPr>
                <w:b/>
                <w:sz w:val="20"/>
              </w:rPr>
              <w:t>7,5</w:t>
            </w:r>
            <w:r>
              <w:rPr>
                <w:b/>
                <w:sz w:val="20"/>
              </w:rPr>
              <w:t xml:space="preserve">% </w:t>
            </w:r>
          </w:p>
        </w:tc>
        <w:tc>
          <w:tcPr>
            <w:tcW w:w="4107" w:type="dxa"/>
            <w:tcBorders>
              <w:top w:val="single" w:sz="4" w:space="0" w:color="auto"/>
              <w:left w:val="single" w:sz="4" w:space="0" w:color="auto"/>
              <w:bottom w:val="single" w:sz="4" w:space="0" w:color="auto"/>
              <w:right w:val="single" w:sz="4" w:space="0" w:color="auto"/>
            </w:tcBorders>
          </w:tcPr>
          <w:p w14:paraId="25878FE4" w14:textId="77777777" w:rsidR="005C5D01" w:rsidRDefault="005C5D01" w:rsidP="005C5D01">
            <w:pPr>
              <w:spacing w:after="0" w:line="259" w:lineRule="auto"/>
              <w:ind w:left="113" w:right="0" w:firstLine="0"/>
            </w:pPr>
            <w:r>
              <w:rPr>
                <w:sz w:val="20"/>
              </w:rPr>
              <w:t xml:space="preserve">В залог принимаются земельные участки из состава земель промышленности, энергетики, транспорта, связи, радиовещания, информатики и иные земельные участки данных категорий земель, земельные участки из состава земель населенных пунктов свободные и застроенные </w:t>
            </w:r>
          </w:p>
        </w:tc>
      </w:tr>
      <w:tr w:rsidR="005C5D01" w14:paraId="7056971E" w14:textId="77777777" w:rsidTr="00554662">
        <w:tblPrEx>
          <w:tblCellMar>
            <w:top w:w="47" w:type="dxa"/>
            <w:right w:w="77" w:type="dxa"/>
          </w:tblCellMar>
        </w:tblPrEx>
        <w:trPr>
          <w:trHeight w:val="1618"/>
        </w:trPr>
        <w:tc>
          <w:tcPr>
            <w:tcW w:w="538" w:type="dxa"/>
            <w:tcBorders>
              <w:top w:val="single" w:sz="4" w:space="0" w:color="auto"/>
              <w:left w:val="single" w:sz="4" w:space="0" w:color="000000"/>
              <w:bottom w:val="single" w:sz="4" w:space="0" w:color="000000"/>
              <w:right w:val="single" w:sz="4" w:space="0" w:color="000000"/>
            </w:tcBorders>
          </w:tcPr>
          <w:p w14:paraId="31204074" w14:textId="77777777" w:rsidR="005C5D01" w:rsidRDefault="005C5D01" w:rsidP="005C5D01">
            <w:pPr>
              <w:spacing w:after="0" w:line="259" w:lineRule="auto"/>
              <w:ind w:right="0" w:firstLine="0"/>
              <w:jc w:val="left"/>
              <w:rPr>
                <w:sz w:val="20"/>
              </w:rPr>
            </w:pPr>
            <w:r>
              <w:rPr>
                <w:sz w:val="20"/>
              </w:rPr>
              <w:t xml:space="preserve"> </w:t>
            </w:r>
          </w:p>
        </w:tc>
        <w:tc>
          <w:tcPr>
            <w:tcW w:w="3233" w:type="dxa"/>
            <w:tcBorders>
              <w:top w:val="single" w:sz="4" w:space="0" w:color="auto"/>
              <w:left w:val="single" w:sz="4" w:space="0" w:color="000000"/>
              <w:bottom w:val="single" w:sz="4" w:space="0" w:color="000000"/>
              <w:right w:val="single" w:sz="4" w:space="0" w:color="000000"/>
            </w:tcBorders>
          </w:tcPr>
          <w:p w14:paraId="3D5561C1" w14:textId="77777777" w:rsidR="005C5D01" w:rsidRDefault="005C5D01" w:rsidP="005C5D01">
            <w:pPr>
              <w:spacing w:after="0" w:line="241" w:lineRule="auto"/>
              <w:ind w:left="113" w:right="0" w:firstLine="0"/>
              <w:jc w:val="left"/>
            </w:pPr>
            <w:proofErr w:type="gramStart"/>
            <w:r>
              <w:rPr>
                <w:i/>
                <w:sz w:val="20"/>
              </w:rPr>
              <w:t>Объекты  незавершенного</w:t>
            </w:r>
            <w:proofErr w:type="gramEnd"/>
            <w:r>
              <w:rPr>
                <w:i/>
                <w:sz w:val="20"/>
              </w:rPr>
              <w:t xml:space="preserve"> строительства </w:t>
            </w:r>
          </w:p>
          <w:p w14:paraId="0F940B1F" w14:textId="77777777" w:rsidR="005C5D01" w:rsidRDefault="005C5D01" w:rsidP="005C5D01">
            <w:pPr>
              <w:spacing w:after="0" w:line="259" w:lineRule="auto"/>
              <w:ind w:left="113" w:right="0" w:firstLine="0"/>
              <w:jc w:val="left"/>
              <w:rPr>
                <w:b/>
                <w:i/>
                <w:sz w:val="20"/>
              </w:rPr>
            </w:pPr>
            <w:r>
              <w:rPr>
                <w:sz w:val="20"/>
              </w:rPr>
              <w:t xml:space="preserve"> </w:t>
            </w:r>
          </w:p>
        </w:tc>
        <w:tc>
          <w:tcPr>
            <w:tcW w:w="1752" w:type="dxa"/>
            <w:tcBorders>
              <w:top w:val="single" w:sz="4" w:space="0" w:color="auto"/>
              <w:left w:val="single" w:sz="4" w:space="0" w:color="000000"/>
              <w:bottom w:val="single" w:sz="4" w:space="0" w:color="000000"/>
              <w:right w:val="single" w:sz="4" w:space="0" w:color="000000"/>
            </w:tcBorders>
          </w:tcPr>
          <w:p w14:paraId="3D7B6E37" w14:textId="55881FB0" w:rsidR="005C5D01" w:rsidRDefault="005C5D01" w:rsidP="005C5D01">
            <w:pPr>
              <w:spacing w:after="0" w:line="259" w:lineRule="auto"/>
              <w:ind w:left="65" w:right="0" w:firstLine="0"/>
              <w:jc w:val="center"/>
              <w:rPr>
                <w:b/>
                <w:sz w:val="20"/>
              </w:rPr>
            </w:pPr>
            <w:r>
              <w:rPr>
                <w:b/>
                <w:sz w:val="20"/>
              </w:rPr>
              <w:t>40%</w:t>
            </w:r>
            <w:r w:rsidR="00193201">
              <w:rPr>
                <w:b/>
                <w:sz w:val="20"/>
              </w:rPr>
              <w:t>-60%</w:t>
            </w:r>
            <w:r>
              <w:rPr>
                <w:b/>
                <w:sz w:val="20"/>
              </w:rPr>
              <w:t xml:space="preserve"> </w:t>
            </w:r>
          </w:p>
        </w:tc>
        <w:tc>
          <w:tcPr>
            <w:tcW w:w="4107" w:type="dxa"/>
            <w:tcBorders>
              <w:top w:val="single" w:sz="4" w:space="0" w:color="auto"/>
              <w:left w:val="single" w:sz="4" w:space="0" w:color="000000"/>
              <w:bottom w:val="single" w:sz="4" w:space="0" w:color="000000"/>
              <w:right w:val="single" w:sz="4" w:space="0" w:color="000000"/>
            </w:tcBorders>
          </w:tcPr>
          <w:p w14:paraId="43401889" w14:textId="77777777" w:rsidR="005C5D01" w:rsidRDefault="005C5D01" w:rsidP="005C5D01">
            <w:pPr>
              <w:spacing w:after="2" w:line="240" w:lineRule="auto"/>
              <w:ind w:left="113" w:right="47" w:firstLine="0"/>
            </w:pPr>
            <w:r>
              <w:rPr>
                <w:sz w:val="20"/>
              </w:rPr>
              <w:t xml:space="preserve">В залог принимаются объекты незавершенного строительства, на которые оформлено право собственности. </w:t>
            </w:r>
          </w:p>
          <w:p w14:paraId="0CFA1079" w14:textId="77777777" w:rsidR="005C5D01" w:rsidRDefault="005C5D01" w:rsidP="005C5D01">
            <w:pPr>
              <w:spacing w:after="0" w:line="241" w:lineRule="auto"/>
              <w:ind w:left="113" w:right="45" w:firstLine="0"/>
              <w:rPr>
                <w:sz w:val="20"/>
              </w:rPr>
            </w:pPr>
            <w:r>
              <w:rPr>
                <w:sz w:val="20"/>
              </w:rPr>
              <w:t>Не могут быть приняты в залог объекты незавершенного строительства с просроченными сроками  разрешения на строительство  и/или просроченными сроками ввода в эксплуатацию указанного в проектной документации объекта</w:t>
            </w:r>
            <w:r>
              <w:rPr>
                <w:b/>
                <w:sz w:val="20"/>
              </w:rPr>
              <w:t xml:space="preserve"> </w:t>
            </w:r>
          </w:p>
        </w:tc>
      </w:tr>
      <w:tr w:rsidR="00193201" w14:paraId="6ABE21FE" w14:textId="77777777" w:rsidTr="00980F0C">
        <w:tblPrEx>
          <w:tblCellMar>
            <w:top w:w="47" w:type="dxa"/>
            <w:right w:w="77" w:type="dxa"/>
          </w:tblCellMar>
        </w:tblPrEx>
        <w:trPr>
          <w:trHeight w:val="1618"/>
        </w:trPr>
        <w:tc>
          <w:tcPr>
            <w:tcW w:w="538" w:type="dxa"/>
            <w:vMerge w:val="restart"/>
            <w:tcBorders>
              <w:top w:val="single" w:sz="4" w:space="0" w:color="000000"/>
              <w:left w:val="single" w:sz="4" w:space="0" w:color="000000"/>
              <w:right w:val="single" w:sz="4" w:space="0" w:color="000000"/>
            </w:tcBorders>
          </w:tcPr>
          <w:p w14:paraId="44F05DB3" w14:textId="77777777" w:rsidR="00193201" w:rsidRDefault="00193201" w:rsidP="005C5D01">
            <w:pPr>
              <w:spacing w:after="0" w:line="259" w:lineRule="auto"/>
              <w:ind w:right="0" w:firstLine="0"/>
              <w:jc w:val="left"/>
            </w:pPr>
            <w:r>
              <w:rPr>
                <w:sz w:val="20"/>
              </w:rPr>
              <w:t xml:space="preserve"> </w:t>
            </w:r>
          </w:p>
        </w:tc>
        <w:tc>
          <w:tcPr>
            <w:tcW w:w="3233" w:type="dxa"/>
            <w:vMerge w:val="restart"/>
            <w:tcBorders>
              <w:top w:val="single" w:sz="4" w:space="0" w:color="000000"/>
              <w:left w:val="single" w:sz="4" w:space="0" w:color="000000"/>
              <w:right w:val="single" w:sz="4" w:space="0" w:color="000000"/>
            </w:tcBorders>
          </w:tcPr>
          <w:p w14:paraId="544762FC" w14:textId="77777777" w:rsidR="00193201" w:rsidRDefault="00193201" w:rsidP="005C5D01">
            <w:pPr>
              <w:spacing w:after="0" w:line="259" w:lineRule="auto"/>
              <w:ind w:left="113" w:right="0" w:firstLine="0"/>
              <w:jc w:val="left"/>
            </w:pPr>
            <w:r>
              <w:rPr>
                <w:b/>
                <w:i/>
                <w:sz w:val="20"/>
              </w:rPr>
              <w:t>Движимое имущество</w:t>
            </w:r>
            <w:r>
              <w:rPr>
                <w:i/>
                <w:sz w:val="20"/>
              </w:rPr>
              <w:t xml:space="preserve"> </w:t>
            </w:r>
          </w:p>
          <w:p w14:paraId="51AD37E9" w14:textId="6300A80B" w:rsidR="00193201" w:rsidRDefault="00193201" w:rsidP="005C5D01">
            <w:pPr>
              <w:spacing w:after="0" w:line="259" w:lineRule="auto"/>
              <w:ind w:left="113" w:right="0" w:firstLine="0"/>
              <w:jc w:val="left"/>
            </w:pPr>
            <w:r>
              <w:rPr>
                <w:i/>
                <w:sz w:val="20"/>
              </w:rPr>
              <w:t>(оборудование)</w:t>
            </w:r>
            <w:r>
              <w:rPr>
                <w:sz w:val="20"/>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7D46C1BA" w14:textId="35F9FAC0" w:rsidR="00193201" w:rsidRDefault="00193201" w:rsidP="005C5D01">
            <w:pPr>
              <w:spacing w:after="0" w:line="259" w:lineRule="auto"/>
              <w:ind w:left="65" w:right="0" w:firstLine="0"/>
              <w:jc w:val="center"/>
            </w:pPr>
            <w:r>
              <w:rPr>
                <w:b/>
                <w:sz w:val="20"/>
              </w:rPr>
              <w:t xml:space="preserve"> </w:t>
            </w:r>
          </w:p>
          <w:p w14:paraId="1E8305D7" w14:textId="77777777" w:rsidR="00193201" w:rsidRDefault="00193201" w:rsidP="005C5D01">
            <w:pPr>
              <w:spacing w:after="0" w:line="259" w:lineRule="auto"/>
              <w:ind w:left="112" w:right="0" w:firstLine="0"/>
              <w:jc w:val="center"/>
            </w:pPr>
            <w:r>
              <w:rPr>
                <w:b/>
                <w:sz w:val="20"/>
              </w:rPr>
              <w:t xml:space="preserve"> </w:t>
            </w:r>
          </w:p>
          <w:p w14:paraId="2383D9F5" w14:textId="77777777" w:rsidR="00193201" w:rsidRDefault="00193201" w:rsidP="005C5D01">
            <w:pPr>
              <w:spacing w:after="0" w:line="259" w:lineRule="auto"/>
              <w:ind w:left="112" w:right="0" w:firstLine="0"/>
              <w:jc w:val="center"/>
            </w:pPr>
            <w:r>
              <w:rPr>
                <w:b/>
                <w:sz w:val="20"/>
              </w:rPr>
              <w:t xml:space="preserve"> </w:t>
            </w:r>
          </w:p>
        </w:tc>
        <w:tc>
          <w:tcPr>
            <w:tcW w:w="4107" w:type="dxa"/>
            <w:tcBorders>
              <w:top w:val="single" w:sz="4" w:space="0" w:color="000000"/>
              <w:left w:val="single" w:sz="4" w:space="0" w:color="000000"/>
              <w:bottom w:val="single" w:sz="4" w:space="0" w:color="000000"/>
              <w:right w:val="single" w:sz="4" w:space="0" w:color="000000"/>
            </w:tcBorders>
          </w:tcPr>
          <w:p w14:paraId="727AC400" w14:textId="485EF368" w:rsidR="00193201" w:rsidRDefault="00302022" w:rsidP="005C5D01">
            <w:pPr>
              <w:spacing w:after="0" w:line="259" w:lineRule="auto"/>
              <w:ind w:left="113" w:right="46" w:firstLine="0"/>
            </w:pPr>
            <w:r w:rsidRPr="00302022">
              <w:rPr>
                <w:sz w:val="20"/>
              </w:rPr>
              <w:t>В залог принимается: - технологическое оборудование, прочие машины и оборудование, залоговой стоимостью не менее 500 000 рублей за единицу; - оборудование, приобретаемое Заемщиком в собственность в рамках реализации проекта, оплачиваемое полностью или частично за счет средств займа Оборудование, принимаемое в обеспечение, должно быть полностью оплачено, принято к бухгалтерскому учету и введено в эксплуатацию Залогодателем</w:t>
            </w:r>
          </w:p>
        </w:tc>
      </w:tr>
      <w:tr w:rsidR="00193201" w14:paraId="408B8770" w14:textId="77777777" w:rsidTr="000F7EB2">
        <w:tblPrEx>
          <w:tblCellMar>
            <w:top w:w="47" w:type="dxa"/>
            <w:right w:w="77" w:type="dxa"/>
          </w:tblCellMar>
        </w:tblPrEx>
        <w:trPr>
          <w:trHeight w:val="305"/>
        </w:trPr>
        <w:tc>
          <w:tcPr>
            <w:tcW w:w="538" w:type="dxa"/>
            <w:vMerge/>
            <w:tcBorders>
              <w:left w:val="single" w:sz="4" w:space="0" w:color="000000"/>
              <w:right w:val="single" w:sz="4" w:space="0" w:color="000000"/>
            </w:tcBorders>
          </w:tcPr>
          <w:p w14:paraId="70DA53EB" w14:textId="77777777" w:rsidR="00193201" w:rsidRDefault="00193201" w:rsidP="005C5D01">
            <w:pPr>
              <w:spacing w:after="0" w:line="259" w:lineRule="auto"/>
              <w:ind w:right="0" w:firstLine="0"/>
              <w:jc w:val="left"/>
              <w:rPr>
                <w:sz w:val="20"/>
              </w:rPr>
            </w:pPr>
          </w:p>
        </w:tc>
        <w:tc>
          <w:tcPr>
            <w:tcW w:w="3233" w:type="dxa"/>
            <w:vMerge/>
            <w:tcBorders>
              <w:left w:val="single" w:sz="4" w:space="0" w:color="000000"/>
              <w:right w:val="single" w:sz="4" w:space="0" w:color="000000"/>
            </w:tcBorders>
          </w:tcPr>
          <w:p w14:paraId="02D2427B" w14:textId="77777777" w:rsidR="00193201" w:rsidRDefault="00193201" w:rsidP="005C5D01">
            <w:pPr>
              <w:spacing w:after="0" w:line="259" w:lineRule="auto"/>
              <w:ind w:left="113" w:right="0" w:firstLine="0"/>
              <w:jc w:val="left"/>
              <w:rPr>
                <w:b/>
                <w:i/>
                <w:sz w:val="20"/>
              </w:rPr>
            </w:pPr>
          </w:p>
        </w:tc>
        <w:tc>
          <w:tcPr>
            <w:tcW w:w="1752" w:type="dxa"/>
            <w:tcBorders>
              <w:top w:val="single" w:sz="4" w:space="0" w:color="000000"/>
              <w:left w:val="single" w:sz="4" w:space="0" w:color="000000"/>
              <w:bottom w:val="single" w:sz="4" w:space="0" w:color="000000"/>
              <w:right w:val="single" w:sz="4" w:space="0" w:color="000000"/>
            </w:tcBorders>
          </w:tcPr>
          <w:p w14:paraId="574D0F92" w14:textId="2669A1B6" w:rsidR="00193201" w:rsidRDefault="00302022" w:rsidP="005C5D01">
            <w:pPr>
              <w:spacing w:after="0" w:line="259" w:lineRule="auto"/>
              <w:ind w:left="65" w:right="0" w:firstLine="0"/>
              <w:jc w:val="center"/>
              <w:rPr>
                <w:b/>
                <w:sz w:val="20"/>
              </w:rPr>
            </w:pPr>
            <w:r>
              <w:rPr>
                <w:b/>
                <w:sz w:val="20"/>
              </w:rPr>
              <w:t>25-37,5%</w:t>
            </w:r>
          </w:p>
        </w:tc>
        <w:tc>
          <w:tcPr>
            <w:tcW w:w="4107" w:type="dxa"/>
            <w:tcBorders>
              <w:top w:val="single" w:sz="4" w:space="0" w:color="000000"/>
              <w:left w:val="single" w:sz="4" w:space="0" w:color="000000"/>
              <w:bottom w:val="single" w:sz="4" w:space="0" w:color="000000"/>
              <w:right w:val="single" w:sz="4" w:space="0" w:color="000000"/>
            </w:tcBorders>
          </w:tcPr>
          <w:p w14:paraId="425B384C" w14:textId="05FAC10C" w:rsidR="00193201" w:rsidRDefault="00302022" w:rsidP="005C5D01">
            <w:pPr>
              <w:spacing w:after="0" w:line="241" w:lineRule="auto"/>
              <w:ind w:left="113" w:right="45" w:firstLine="0"/>
              <w:rPr>
                <w:sz w:val="20"/>
              </w:rPr>
            </w:pPr>
            <w:r>
              <w:rPr>
                <w:sz w:val="20"/>
              </w:rPr>
              <w:t xml:space="preserve">- </w:t>
            </w:r>
            <w:r w:rsidRPr="00302022">
              <w:rPr>
                <w:sz w:val="20"/>
              </w:rPr>
              <w:t>для технологического оборудования.</w:t>
            </w:r>
          </w:p>
        </w:tc>
      </w:tr>
      <w:tr w:rsidR="00193201" w14:paraId="7EA538EC" w14:textId="77777777" w:rsidTr="000F7EB2">
        <w:tblPrEx>
          <w:tblCellMar>
            <w:top w:w="47" w:type="dxa"/>
            <w:right w:w="77" w:type="dxa"/>
          </w:tblCellMar>
        </w:tblPrEx>
        <w:trPr>
          <w:trHeight w:val="934"/>
        </w:trPr>
        <w:tc>
          <w:tcPr>
            <w:tcW w:w="538" w:type="dxa"/>
            <w:vMerge/>
            <w:tcBorders>
              <w:left w:val="single" w:sz="4" w:space="0" w:color="000000"/>
              <w:bottom w:val="single" w:sz="4" w:space="0" w:color="000000"/>
              <w:right w:val="single" w:sz="4" w:space="0" w:color="000000"/>
            </w:tcBorders>
            <w:shd w:val="clear" w:color="auto" w:fill="auto"/>
          </w:tcPr>
          <w:p w14:paraId="04CCE4F8" w14:textId="77777777" w:rsidR="00193201" w:rsidRDefault="00193201" w:rsidP="005C5D01">
            <w:pPr>
              <w:spacing w:after="0" w:line="259" w:lineRule="auto"/>
              <w:ind w:right="0" w:firstLine="0"/>
              <w:jc w:val="left"/>
              <w:rPr>
                <w:sz w:val="20"/>
              </w:rPr>
            </w:pPr>
          </w:p>
        </w:tc>
        <w:tc>
          <w:tcPr>
            <w:tcW w:w="3233" w:type="dxa"/>
            <w:vMerge/>
            <w:tcBorders>
              <w:left w:val="single" w:sz="4" w:space="0" w:color="000000"/>
              <w:bottom w:val="single" w:sz="4" w:space="0" w:color="000000"/>
              <w:right w:val="single" w:sz="4" w:space="0" w:color="000000"/>
            </w:tcBorders>
            <w:shd w:val="clear" w:color="auto" w:fill="auto"/>
          </w:tcPr>
          <w:p w14:paraId="4378B398" w14:textId="77777777" w:rsidR="00193201" w:rsidRDefault="00193201" w:rsidP="005C5D01">
            <w:pPr>
              <w:spacing w:after="0" w:line="259" w:lineRule="auto"/>
              <w:ind w:left="113" w:right="0" w:firstLine="0"/>
              <w:jc w:val="left"/>
              <w:rPr>
                <w:b/>
                <w:i/>
                <w:sz w:val="20"/>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88E9C39" w14:textId="272C092C" w:rsidR="00193201" w:rsidRDefault="00302022" w:rsidP="00302022">
            <w:pPr>
              <w:spacing w:after="0" w:line="259" w:lineRule="auto"/>
              <w:ind w:left="65" w:right="0" w:firstLine="0"/>
              <w:jc w:val="center"/>
              <w:rPr>
                <w:b/>
                <w:sz w:val="20"/>
              </w:rPr>
            </w:pPr>
            <w:r w:rsidRPr="00302022">
              <w:rPr>
                <w:b/>
                <w:sz w:val="20"/>
              </w:rPr>
              <w:t>35%</w:t>
            </w:r>
            <w:r>
              <w:rPr>
                <w:b/>
                <w:sz w:val="20"/>
              </w:rPr>
              <w:t>-</w:t>
            </w:r>
            <w:r w:rsidRPr="00302022">
              <w:rPr>
                <w:b/>
                <w:sz w:val="20"/>
              </w:rPr>
              <w:t>52,5%</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14:paraId="620BED8E" w14:textId="661CBC1F" w:rsidR="00302022" w:rsidRPr="00302022" w:rsidRDefault="00302022" w:rsidP="000F7EB2">
            <w:pPr>
              <w:spacing w:after="0" w:line="240" w:lineRule="auto"/>
              <w:ind w:right="62" w:firstLine="0"/>
              <w:rPr>
                <w:sz w:val="20"/>
              </w:rPr>
            </w:pPr>
            <w:r>
              <w:rPr>
                <w:sz w:val="20"/>
                <w:szCs w:val="18"/>
              </w:rPr>
              <w:t xml:space="preserve">  </w:t>
            </w:r>
            <w:r w:rsidRPr="00302022">
              <w:rPr>
                <w:sz w:val="20"/>
                <w:szCs w:val="18"/>
              </w:rPr>
              <w:t>-</w:t>
            </w:r>
            <w:r>
              <w:rPr>
                <w:sz w:val="20"/>
                <w:szCs w:val="18"/>
              </w:rPr>
              <w:t xml:space="preserve"> </w:t>
            </w:r>
            <w:r w:rsidRPr="00302022">
              <w:rPr>
                <w:sz w:val="20"/>
                <w:szCs w:val="18"/>
              </w:rPr>
              <w:t>для прочих машин и оборудования (включая машины и оборудование мобильного/передвижного типа для нефтедобычи и обслуживания скважин).</w:t>
            </w:r>
          </w:p>
        </w:tc>
      </w:tr>
      <w:tr w:rsidR="00193201" w14:paraId="3C163DFD" w14:textId="77777777" w:rsidTr="00A57798">
        <w:tblPrEx>
          <w:tblCellMar>
            <w:top w:w="47" w:type="dxa"/>
            <w:right w:w="77" w:type="dxa"/>
          </w:tblCellMar>
        </w:tblPrEx>
        <w:trPr>
          <w:trHeight w:val="1618"/>
        </w:trPr>
        <w:tc>
          <w:tcPr>
            <w:tcW w:w="538" w:type="dxa"/>
            <w:tcBorders>
              <w:top w:val="single" w:sz="4" w:space="0" w:color="000000"/>
              <w:left w:val="single" w:sz="4" w:space="0" w:color="000000"/>
              <w:bottom w:val="single" w:sz="4" w:space="0" w:color="000000"/>
              <w:right w:val="single" w:sz="4" w:space="0" w:color="000000"/>
            </w:tcBorders>
          </w:tcPr>
          <w:p w14:paraId="506B6F44" w14:textId="77777777" w:rsidR="00193201" w:rsidRDefault="00193201" w:rsidP="005C5D01">
            <w:pPr>
              <w:spacing w:after="0" w:line="259" w:lineRule="auto"/>
              <w:ind w:right="0" w:firstLine="0"/>
              <w:jc w:val="left"/>
              <w:rPr>
                <w:sz w:val="20"/>
              </w:rPr>
            </w:pPr>
          </w:p>
        </w:tc>
        <w:tc>
          <w:tcPr>
            <w:tcW w:w="3233" w:type="dxa"/>
            <w:tcBorders>
              <w:top w:val="single" w:sz="4" w:space="0" w:color="000000"/>
              <w:left w:val="single" w:sz="4" w:space="0" w:color="000000"/>
              <w:bottom w:val="single" w:sz="4" w:space="0" w:color="000000"/>
              <w:right w:val="single" w:sz="4" w:space="0" w:color="000000"/>
            </w:tcBorders>
          </w:tcPr>
          <w:p w14:paraId="52C8CBAD" w14:textId="77777777" w:rsidR="00193201" w:rsidRPr="00193201" w:rsidRDefault="00193201" w:rsidP="00193201">
            <w:pPr>
              <w:spacing w:after="0" w:line="259" w:lineRule="auto"/>
              <w:ind w:left="113" w:right="0" w:firstLine="0"/>
              <w:jc w:val="left"/>
              <w:rPr>
                <w:b/>
                <w:i/>
                <w:sz w:val="20"/>
              </w:rPr>
            </w:pPr>
            <w:r w:rsidRPr="00193201">
              <w:rPr>
                <w:b/>
                <w:i/>
                <w:sz w:val="20"/>
              </w:rPr>
              <w:t xml:space="preserve">Движимое имущество </w:t>
            </w:r>
          </w:p>
          <w:p w14:paraId="44985A18" w14:textId="71FF2B74" w:rsidR="00193201" w:rsidRPr="00302022" w:rsidRDefault="00302022" w:rsidP="005C5D01">
            <w:pPr>
              <w:spacing w:after="0" w:line="259" w:lineRule="auto"/>
              <w:ind w:left="113" w:right="0" w:firstLine="0"/>
              <w:jc w:val="left"/>
              <w:rPr>
                <w:bCs/>
                <w:i/>
                <w:sz w:val="20"/>
              </w:rPr>
            </w:pPr>
            <w:r w:rsidRPr="00302022">
              <w:rPr>
                <w:bCs/>
                <w:i/>
                <w:sz w:val="20"/>
              </w:rPr>
              <w:t xml:space="preserve"> (транспортные средства)</w:t>
            </w:r>
          </w:p>
        </w:tc>
        <w:tc>
          <w:tcPr>
            <w:tcW w:w="1752" w:type="dxa"/>
            <w:tcBorders>
              <w:top w:val="single" w:sz="4" w:space="0" w:color="000000"/>
              <w:left w:val="single" w:sz="4" w:space="0" w:color="000000"/>
              <w:bottom w:val="single" w:sz="4" w:space="0" w:color="000000"/>
              <w:right w:val="single" w:sz="4" w:space="0" w:color="000000"/>
            </w:tcBorders>
          </w:tcPr>
          <w:p w14:paraId="23C5351E" w14:textId="77777777" w:rsidR="00193201" w:rsidRDefault="00193201" w:rsidP="005C5D01">
            <w:pPr>
              <w:spacing w:after="0" w:line="259" w:lineRule="auto"/>
              <w:ind w:left="65" w:right="0" w:firstLine="0"/>
              <w:jc w:val="center"/>
              <w:rPr>
                <w:b/>
                <w:sz w:val="20"/>
              </w:rPr>
            </w:pPr>
          </w:p>
        </w:tc>
        <w:tc>
          <w:tcPr>
            <w:tcW w:w="4107" w:type="dxa"/>
            <w:tcBorders>
              <w:top w:val="single" w:sz="4" w:space="0" w:color="000000"/>
              <w:left w:val="single" w:sz="4" w:space="0" w:color="000000"/>
              <w:bottom w:val="single" w:sz="4" w:space="0" w:color="000000"/>
              <w:right w:val="single" w:sz="4" w:space="0" w:color="000000"/>
            </w:tcBorders>
          </w:tcPr>
          <w:p w14:paraId="5F93970A" w14:textId="7ACD21C3" w:rsidR="00193201" w:rsidRDefault="00302022" w:rsidP="005C5D01">
            <w:pPr>
              <w:spacing w:after="0" w:line="241" w:lineRule="auto"/>
              <w:ind w:left="113" w:right="45" w:firstLine="0"/>
              <w:rPr>
                <w:sz w:val="20"/>
              </w:rPr>
            </w:pPr>
            <w:r w:rsidRPr="00302022">
              <w:rPr>
                <w:sz w:val="20"/>
                <w:szCs w:val="18"/>
              </w:rPr>
              <w:t>В залог принимается автотранспорт, спецтехника, самоходные машины, прицепы, подвижной состав и прочие транспортные средства, залоговой стоимостью не менее 500 000 рублей за единицу. Транспортное средство, принимаемое в залог Фондом, должно быть полностью оплачено, принято к бухгалтерскому учету и введено в эксплуатацию Залогодателем</w:t>
            </w:r>
          </w:p>
        </w:tc>
      </w:tr>
      <w:tr w:rsidR="00302022" w14:paraId="3662533D" w14:textId="77777777" w:rsidTr="000F7EB2">
        <w:tblPrEx>
          <w:tblCellMar>
            <w:top w:w="47" w:type="dxa"/>
            <w:right w:w="77" w:type="dxa"/>
          </w:tblCellMar>
        </w:tblPrEx>
        <w:trPr>
          <w:trHeight w:val="973"/>
        </w:trPr>
        <w:tc>
          <w:tcPr>
            <w:tcW w:w="538" w:type="dxa"/>
            <w:tcBorders>
              <w:top w:val="single" w:sz="4" w:space="0" w:color="000000"/>
              <w:left w:val="single" w:sz="4" w:space="0" w:color="000000"/>
              <w:bottom w:val="single" w:sz="4" w:space="0" w:color="000000"/>
              <w:right w:val="single" w:sz="4" w:space="0" w:color="000000"/>
            </w:tcBorders>
          </w:tcPr>
          <w:p w14:paraId="0940065F" w14:textId="77777777" w:rsidR="00302022" w:rsidRDefault="00302022" w:rsidP="005C5D01">
            <w:pPr>
              <w:spacing w:after="0" w:line="259" w:lineRule="auto"/>
              <w:ind w:right="0" w:firstLine="0"/>
              <w:jc w:val="left"/>
              <w:rPr>
                <w:sz w:val="20"/>
              </w:rPr>
            </w:pPr>
          </w:p>
        </w:tc>
        <w:tc>
          <w:tcPr>
            <w:tcW w:w="3233" w:type="dxa"/>
            <w:tcBorders>
              <w:top w:val="single" w:sz="4" w:space="0" w:color="000000"/>
              <w:left w:val="single" w:sz="4" w:space="0" w:color="000000"/>
              <w:bottom w:val="single" w:sz="4" w:space="0" w:color="000000"/>
              <w:right w:val="single" w:sz="4" w:space="0" w:color="000000"/>
            </w:tcBorders>
          </w:tcPr>
          <w:p w14:paraId="78410FE6" w14:textId="77777777" w:rsidR="00302022" w:rsidRPr="00193201" w:rsidRDefault="00302022" w:rsidP="00193201">
            <w:pPr>
              <w:spacing w:after="0" w:line="259" w:lineRule="auto"/>
              <w:ind w:left="113" w:right="0" w:firstLine="0"/>
              <w:jc w:val="left"/>
              <w:rPr>
                <w:b/>
                <w:i/>
                <w:sz w:val="20"/>
              </w:rPr>
            </w:pPr>
          </w:p>
        </w:tc>
        <w:tc>
          <w:tcPr>
            <w:tcW w:w="1752" w:type="dxa"/>
            <w:tcBorders>
              <w:top w:val="single" w:sz="4" w:space="0" w:color="000000"/>
              <w:left w:val="single" w:sz="4" w:space="0" w:color="000000"/>
              <w:bottom w:val="single" w:sz="4" w:space="0" w:color="000000"/>
              <w:right w:val="single" w:sz="4" w:space="0" w:color="000000"/>
            </w:tcBorders>
          </w:tcPr>
          <w:p w14:paraId="730BDCE4" w14:textId="5FBA082A" w:rsidR="00302022" w:rsidRDefault="00302022" w:rsidP="005C5D01">
            <w:pPr>
              <w:spacing w:after="0" w:line="259" w:lineRule="auto"/>
              <w:ind w:left="65" w:right="0" w:firstLine="0"/>
              <w:jc w:val="center"/>
              <w:rPr>
                <w:b/>
                <w:sz w:val="20"/>
              </w:rPr>
            </w:pPr>
            <w:r>
              <w:rPr>
                <w:b/>
                <w:sz w:val="20"/>
              </w:rPr>
              <w:t>30-45%</w:t>
            </w:r>
          </w:p>
        </w:tc>
        <w:tc>
          <w:tcPr>
            <w:tcW w:w="4107" w:type="dxa"/>
            <w:tcBorders>
              <w:top w:val="single" w:sz="4" w:space="0" w:color="000000"/>
              <w:left w:val="single" w:sz="4" w:space="0" w:color="000000"/>
              <w:bottom w:val="single" w:sz="4" w:space="0" w:color="000000"/>
              <w:right w:val="single" w:sz="4" w:space="0" w:color="000000"/>
            </w:tcBorders>
          </w:tcPr>
          <w:p w14:paraId="29261E3A" w14:textId="50B59A86" w:rsidR="00302022" w:rsidRDefault="00302022" w:rsidP="005C5D01">
            <w:pPr>
              <w:spacing w:after="0" w:line="241" w:lineRule="auto"/>
              <w:ind w:left="113" w:right="45" w:firstLine="0"/>
              <w:rPr>
                <w:sz w:val="20"/>
              </w:rPr>
            </w:pPr>
            <w:r>
              <w:rPr>
                <w:sz w:val="20"/>
                <w:szCs w:val="18"/>
              </w:rPr>
              <w:t xml:space="preserve"> - </w:t>
            </w:r>
            <w:r w:rsidRPr="00302022">
              <w:rPr>
                <w:sz w:val="20"/>
                <w:szCs w:val="18"/>
              </w:rPr>
              <w:t>для автотранспорта и самоходных машин, произведенных не ранее 3-х лет до даты рассмотрения проекта Экспертным советом;</w:t>
            </w:r>
          </w:p>
        </w:tc>
      </w:tr>
      <w:tr w:rsidR="00302022" w14:paraId="6E7370C2" w14:textId="77777777" w:rsidTr="000F7EB2">
        <w:tblPrEx>
          <w:tblCellMar>
            <w:top w:w="47" w:type="dxa"/>
            <w:right w:w="77" w:type="dxa"/>
          </w:tblCellMar>
        </w:tblPrEx>
        <w:trPr>
          <w:trHeight w:val="783"/>
        </w:trPr>
        <w:tc>
          <w:tcPr>
            <w:tcW w:w="538" w:type="dxa"/>
            <w:tcBorders>
              <w:top w:val="single" w:sz="4" w:space="0" w:color="000000"/>
              <w:left w:val="single" w:sz="4" w:space="0" w:color="000000"/>
              <w:bottom w:val="single" w:sz="4" w:space="0" w:color="000000"/>
              <w:right w:val="single" w:sz="4" w:space="0" w:color="000000"/>
            </w:tcBorders>
          </w:tcPr>
          <w:p w14:paraId="1AF9E7A8" w14:textId="77777777" w:rsidR="00302022" w:rsidRDefault="00302022" w:rsidP="005C5D01">
            <w:pPr>
              <w:spacing w:after="0" w:line="259" w:lineRule="auto"/>
              <w:ind w:right="0" w:firstLine="0"/>
              <w:jc w:val="left"/>
              <w:rPr>
                <w:sz w:val="20"/>
              </w:rPr>
            </w:pPr>
          </w:p>
        </w:tc>
        <w:tc>
          <w:tcPr>
            <w:tcW w:w="3233" w:type="dxa"/>
            <w:tcBorders>
              <w:top w:val="single" w:sz="4" w:space="0" w:color="000000"/>
              <w:left w:val="single" w:sz="4" w:space="0" w:color="000000"/>
              <w:bottom w:val="single" w:sz="4" w:space="0" w:color="000000"/>
              <w:right w:val="single" w:sz="4" w:space="0" w:color="000000"/>
            </w:tcBorders>
          </w:tcPr>
          <w:p w14:paraId="0038E224" w14:textId="77777777" w:rsidR="00302022" w:rsidRPr="00193201" w:rsidRDefault="00302022" w:rsidP="00193201">
            <w:pPr>
              <w:spacing w:after="0" w:line="259" w:lineRule="auto"/>
              <w:ind w:left="113" w:right="0" w:firstLine="0"/>
              <w:jc w:val="left"/>
              <w:rPr>
                <w:b/>
                <w:i/>
                <w:sz w:val="20"/>
              </w:rPr>
            </w:pPr>
          </w:p>
        </w:tc>
        <w:tc>
          <w:tcPr>
            <w:tcW w:w="1752" w:type="dxa"/>
            <w:tcBorders>
              <w:top w:val="single" w:sz="4" w:space="0" w:color="000000"/>
              <w:left w:val="single" w:sz="4" w:space="0" w:color="000000"/>
              <w:bottom w:val="single" w:sz="4" w:space="0" w:color="000000"/>
              <w:right w:val="single" w:sz="4" w:space="0" w:color="000000"/>
            </w:tcBorders>
          </w:tcPr>
          <w:p w14:paraId="214824D8" w14:textId="6F68647B" w:rsidR="00302022" w:rsidRDefault="000F7EB2" w:rsidP="005C5D01">
            <w:pPr>
              <w:spacing w:after="0" w:line="259" w:lineRule="auto"/>
              <w:ind w:left="65" w:right="0" w:firstLine="0"/>
              <w:jc w:val="center"/>
              <w:rPr>
                <w:b/>
                <w:sz w:val="20"/>
              </w:rPr>
            </w:pPr>
            <w:r>
              <w:rPr>
                <w:b/>
                <w:sz w:val="20"/>
              </w:rPr>
              <w:t>35-52,5%</w:t>
            </w:r>
          </w:p>
        </w:tc>
        <w:tc>
          <w:tcPr>
            <w:tcW w:w="4107" w:type="dxa"/>
            <w:tcBorders>
              <w:top w:val="single" w:sz="4" w:space="0" w:color="000000"/>
              <w:left w:val="single" w:sz="4" w:space="0" w:color="000000"/>
              <w:bottom w:val="single" w:sz="4" w:space="0" w:color="000000"/>
              <w:right w:val="single" w:sz="4" w:space="0" w:color="000000"/>
            </w:tcBorders>
          </w:tcPr>
          <w:p w14:paraId="67BA3AEC" w14:textId="1C63669E" w:rsidR="00302022" w:rsidRDefault="000F7EB2" w:rsidP="005C5D01">
            <w:pPr>
              <w:spacing w:after="0" w:line="241" w:lineRule="auto"/>
              <w:ind w:left="113" w:right="45" w:firstLine="0"/>
              <w:rPr>
                <w:sz w:val="20"/>
              </w:rPr>
            </w:pPr>
            <w:r>
              <w:rPr>
                <w:sz w:val="20"/>
                <w:szCs w:val="18"/>
              </w:rPr>
              <w:t xml:space="preserve"> - </w:t>
            </w:r>
            <w:r w:rsidRPr="000F7EB2">
              <w:rPr>
                <w:sz w:val="20"/>
                <w:szCs w:val="18"/>
              </w:rPr>
              <w:t>для автотранспорта и самоходных машин, произведенных не ранее 7 лет до даты рассмотрения проекта Экспертным советом;</w:t>
            </w:r>
          </w:p>
        </w:tc>
      </w:tr>
      <w:tr w:rsidR="00302022" w14:paraId="17AA96DC" w14:textId="77777777" w:rsidTr="000F7EB2">
        <w:tblPrEx>
          <w:tblCellMar>
            <w:top w:w="47" w:type="dxa"/>
            <w:right w:w="77" w:type="dxa"/>
          </w:tblCellMar>
        </w:tblPrEx>
        <w:trPr>
          <w:trHeight w:val="953"/>
        </w:trPr>
        <w:tc>
          <w:tcPr>
            <w:tcW w:w="538" w:type="dxa"/>
            <w:tcBorders>
              <w:top w:val="single" w:sz="4" w:space="0" w:color="000000"/>
              <w:left w:val="single" w:sz="4" w:space="0" w:color="000000"/>
              <w:bottom w:val="single" w:sz="4" w:space="0" w:color="000000"/>
              <w:right w:val="single" w:sz="4" w:space="0" w:color="000000"/>
            </w:tcBorders>
          </w:tcPr>
          <w:p w14:paraId="7FD51F4F" w14:textId="77777777" w:rsidR="00302022" w:rsidRDefault="00302022" w:rsidP="005C5D01">
            <w:pPr>
              <w:spacing w:after="0" w:line="259" w:lineRule="auto"/>
              <w:ind w:right="0" w:firstLine="0"/>
              <w:jc w:val="left"/>
              <w:rPr>
                <w:sz w:val="20"/>
              </w:rPr>
            </w:pPr>
          </w:p>
        </w:tc>
        <w:tc>
          <w:tcPr>
            <w:tcW w:w="3233" w:type="dxa"/>
            <w:tcBorders>
              <w:top w:val="single" w:sz="4" w:space="0" w:color="000000"/>
              <w:left w:val="single" w:sz="4" w:space="0" w:color="000000"/>
              <w:bottom w:val="single" w:sz="4" w:space="0" w:color="000000"/>
              <w:right w:val="single" w:sz="4" w:space="0" w:color="000000"/>
            </w:tcBorders>
          </w:tcPr>
          <w:p w14:paraId="2E1F0B11" w14:textId="77777777" w:rsidR="00302022" w:rsidRPr="00193201" w:rsidRDefault="00302022" w:rsidP="00193201">
            <w:pPr>
              <w:spacing w:after="0" w:line="259" w:lineRule="auto"/>
              <w:ind w:left="113" w:right="0" w:firstLine="0"/>
              <w:jc w:val="left"/>
              <w:rPr>
                <w:b/>
                <w:i/>
                <w:sz w:val="20"/>
              </w:rPr>
            </w:pPr>
          </w:p>
        </w:tc>
        <w:tc>
          <w:tcPr>
            <w:tcW w:w="1752" w:type="dxa"/>
            <w:tcBorders>
              <w:top w:val="single" w:sz="4" w:space="0" w:color="000000"/>
              <w:left w:val="single" w:sz="4" w:space="0" w:color="000000"/>
              <w:bottom w:val="single" w:sz="4" w:space="0" w:color="000000"/>
              <w:right w:val="single" w:sz="4" w:space="0" w:color="000000"/>
            </w:tcBorders>
          </w:tcPr>
          <w:p w14:paraId="77F85E45" w14:textId="153D9490" w:rsidR="00302022" w:rsidRDefault="000F7EB2" w:rsidP="005C5D01">
            <w:pPr>
              <w:spacing w:after="0" w:line="259" w:lineRule="auto"/>
              <w:ind w:left="65" w:right="0" w:firstLine="0"/>
              <w:jc w:val="center"/>
              <w:rPr>
                <w:b/>
                <w:sz w:val="20"/>
              </w:rPr>
            </w:pPr>
            <w:r>
              <w:rPr>
                <w:b/>
                <w:sz w:val="20"/>
              </w:rPr>
              <w:t>40-60%</w:t>
            </w:r>
          </w:p>
        </w:tc>
        <w:tc>
          <w:tcPr>
            <w:tcW w:w="4107" w:type="dxa"/>
            <w:tcBorders>
              <w:top w:val="single" w:sz="4" w:space="0" w:color="000000"/>
              <w:left w:val="single" w:sz="4" w:space="0" w:color="000000"/>
              <w:bottom w:val="single" w:sz="4" w:space="0" w:color="000000"/>
              <w:right w:val="single" w:sz="4" w:space="0" w:color="000000"/>
            </w:tcBorders>
          </w:tcPr>
          <w:p w14:paraId="0E4567C5" w14:textId="4BFE266F" w:rsidR="00302022" w:rsidRDefault="000F7EB2" w:rsidP="005C5D01">
            <w:pPr>
              <w:spacing w:after="0" w:line="241" w:lineRule="auto"/>
              <w:ind w:left="113" w:right="45" w:firstLine="0"/>
              <w:rPr>
                <w:sz w:val="20"/>
              </w:rPr>
            </w:pPr>
            <w:r>
              <w:rPr>
                <w:sz w:val="20"/>
                <w:szCs w:val="18"/>
              </w:rPr>
              <w:t xml:space="preserve"> - </w:t>
            </w:r>
            <w:r w:rsidRPr="000F7EB2">
              <w:rPr>
                <w:sz w:val="20"/>
                <w:szCs w:val="18"/>
              </w:rPr>
              <w:t>для автотранспорта и самоходных машин, произведенных ранее 7 лет до даты рассмотрения проекта Экспертным советом; - для иных транспортных средств.</w:t>
            </w:r>
          </w:p>
        </w:tc>
      </w:tr>
      <w:tr w:rsidR="000F7EB2" w14:paraId="101B16DF" w14:textId="77777777" w:rsidTr="000F7EB2">
        <w:tblPrEx>
          <w:tblCellMar>
            <w:top w:w="47" w:type="dxa"/>
            <w:right w:w="77" w:type="dxa"/>
          </w:tblCellMar>
        </w:tblPrEx>
        <w:trPr>
          <w:trHeight w:val="953"/>
        </w:trPr>
        <w:tc>
          <w:tcPr>
            <w:tcW w:w="538" w:type="dxa"/>
            <w:tcBorders>
              <w:top w:val="single" w:sz="4" w:space="0" w:color="000000"/>
              <w:left w:val="single" w:sz="4" w:space="0" w:color="000000"/>
              <w:bottom w:val="single" w:sz="4" w:space="0" w:color="000000"/>
              <w:right w:val="single" w:sz="4" w:space="0" w:color="000000"/>
            </w:tcBorders>
          </w:tcPr>
          <w:p w14:paraId="6CCB3601" w14:textId="77777777" w:rsidR="000F7EB2" w:rsidRDefault="000F7EB2" w:rsidP="005C5D01">
            <w:pPr>
              <w:spacing w:after="0" w:line="259" w:lineRule="auto"/>
              <w:ind w:right="0" w:firstLine="0"/>
              <w:jc w:val="left"/>
              <w:rPr>
                <w:sz w:val="20"/>
              </w:rPr>
            </w:pPr>
          </w:p>
        </w:tc>
        <w:tc>
          <w:tcPr>
            <w:tcW w:w="3233" w:type="dxa"/>
            <w:tcBorders>
              <w:top w:val="single" w:sz="4" w:space="0" w:color="000000"/>
              <w:left w:val="single" w:sz="4" w:space="0" w:color="000000"/>
              <w:bottom w:val="single" w:sz="4" w:space="0" w:color="000000"/>
              <w:right w:val="single" w:sz="4" w:space="0" w:color="000000"/>
            </w:tcBorders>
          </w:tcPr>
          <w:p w14:paraId="4AE3A7F1" w14:textId="1BBDCF1E" w:rsidR="000F7EB2" w:rsidRPr="00193201" w:rsidRDefault="000F7EB2" w:rsidP="00193201">
            <w:pPr>
              <w:spacing w:after="0" w:line="259" w:lineRule="auto"/>
              <w:ind w:left="113" w:right="0" w:firstLine="0"/>
              <w:jc w:val="left"/>
              <w:rPr>
                <w:b/>
                <w:i/>
                <w:sz w:val="20"/>
              </w:rPr>
            </w:pPr>
            <w:r>
              <w:rPr>
                <w:b/>
                <w:i/>
                <w:sz w:val="20"/>
              </w:rPr>
              <w:t>Обеспечительный платеж</w:t>
            </w:r>
          </w:p>
        </w:tc>
        <w:tc>
          <w:tcPr>
            <w:tcW w:w="1752" w:type="dxa"/>
            <w:tcBorders>
              <w:top w:val="single" w:sz="4" w:space="0" w:color="000000"/>
              <w:left w:val="single" w:sz="4" w:space="0" w:color="000000"/>
              <w:bottom w:val="single" w:sz="4" w:space="0" w:color="000000"/>
              <w:right w:val="single" w:sz="4" w:space="0" w:color="000000"/>
            </w:tcBorders>
          </w:tcPr>
          <w:p w14:paraId="1AAEB1D4" w14:textId="5BBF843E" w:rsidR="000F7EB2" w:rsidRDefault="000F7EB2" w:rsidP="005C5D01">
            <w:pPr>
              <w:spacing w:after="0" w:line="259" w:lineRule="auto"/>
              <w:ind w:left="65" w:right="0" w:firstLine="0"/>
              <w:jc w:val="center"/>
              <w:rPr>
                <w:b/>
                <w:sz w:val="20"/>
              </w:rPr>
            </w:pPr>
            <w:r>
              <w:rPr>
                <w:b/>
                <w:sz w:val="20"/>
              </w:rPr>
              <w:t>0</w:t>
            </w:r>
          </w:p>
        </w:tc>
        <w:tc>
          <w:tcPr>
            <w:tcW w:w="4107" w:type="dxa"/>
            <w:tcBorders>
              <w:top w:val="single" w:sz="4" w:space="0" w:color="000000"/>
              <w:left w:val="single" w:sz="4" w:space="0" w:color="000000"/>
              <w:bottom w:val="single" w:sz="4" w:space="0" w:color="000000"/>
              <w:right w:val="single" w:sz="4" w:space="0" w:color="000000"/>
            </w:tcBorders>
          </w:tcPr>
          <w:p w14:paraId="31AA78F1" w14:textId="204AD4A9" w:rsidR="000F7EB2" w:rsidRDefault="000F7EB2" w:rsidP="005C5D01">
            <w:pPr>
              <w:spacing w:after="0" w:line="241" w:lineRule="auto"/>
              <w:ind w:left="113" w:right="45" w:firstLine="0"/>
              <w:rPr>
                <w:sz w:val="20"/>
                <w:szCs w:val="18"/>
              </w:rPr>
            </w:pPr>
            <w:r>
              <w:rPr>
                <w:sz w:val="20"/>
                <w:szCs w:val="18"/>
              </w:rPr>
              <w:t xml:space="preserve">- </w:t>
            </w:r>
            <w:r w:rsidRPr="000F7EB2">
              <w:rPr>
                <w:sz w:val="20"/>
                <w:szCs w:val="18"/>
              </w:rPr>
              <w:t xml:space="preserve">внесение на счет Фонда денежной суммы; </w:t>
            </w:r>
          </w:p>
          <w:p w14:paraId="3AE8CD5C" w14:textId="13013DBF" w:rsidR="000F7EB2" w:rsidRDefault="000F7EB2" w:rsidP="005C5D01">
            <w:pPr>
              <w:spacing w:after="0" w:line="241" w:lineRule="auto"/>
              <w:ind w:left="113" w:right="45" w:firstLine="0"/>
              <w:rPr>
                <w:sz w:val="20"/>
              </w:rPr>
            </w:pPr>
            <w:r w:rsidRPr="000F7EB2">
              <w:rPr>
                <w:sz w:val="20"/>
                <w:szCs w:val="18"/>
              </w:rPr>
              <w:t>- проценты, установленные статьей 317.1 ГК РФ, не начисляются.</w:t>
            </w:r>
          </w:p>
        </w:tc>
      </w:tr>
    </w:tbl>
    <w:p w14:paraId="3076A088" w14:textId="77777777" w:rsidR="00B216DD" w:rsidRDefault="00B216DD" w:rsidP="00B216DD">
      <w:pPr>
        <w:spacing w:after="0" w:line="259" w:lineRule="auto"/>
        <w:ind w:right="0" w:firstLine="0"/>
        <w:rPr>
          <w:b/>
        </w:rPr>
      </w:pPr>
    </w:p>
    <w:p w14:paraId="27B61645" w14:textId="5FEC43C6" w:rsidR="00B216DD" w:rsidRDefault="00B216DD">
      <w:pPr>
        <w:spacing w:after="160" w:line="259" w:lineRule="auto"/>
        <w:ind w:right="0" w:firstLine="0"/>
        <w:jc w:val="left"/>
        <w:rPr>
          <w:b/>
        </w:rPr>
      </w:pPr>
    </w:p>
    <w:p w14:paraId="3E42986C" w14:textId="0D6BAC8A" w:rsidR="00DD0B8D" w:rsidRPr="00B216DD" w:rsidRDefault="00D47DEA">
      <w:pPr>
        <w:spacing w:after="91" w:line="268" w:lineRule="auto"/>
        <w:ind w:left="1084" w:right="939" w:hanging="10"/>
        <w:jc w:val="center"/>
        <w:rPr>
          <w:sz w:val="32"/>
        </w:rPr>
      </w:pPr>
      <w:r w:rsidRPr="00B216DD">
        <w:rPr>
          <w:b/>
        </w:rPr>
        <w:t xml:space="preserve">Критерии оценки устойчивости финансового положения юридических лиц и лизинговых компаний </w:t>
      </w:r>
    </w:p>
    <w:p w14:paraId="4163EE6D" w14:textId="77777777" w:rsidR="00B216DD" w:rsidRPr="008822A3" w:rsidRDefault="00B216DD" w:rsidP="00B216DD">
      <w:pPr>
        <w:widowControl w:val="0"/>
        <w:tabs>
          <w:tab w:val="left" w:pos="1134"/>
          <w:tab w:val="left" w:pos="7513"/>
        </w:tabs>
        <w:ind w:right="-24" w:firstLine="709"/>
        <w:rPr>
          <w:rFonts w:eastAsia="Arial Narrow"/>
          <w:szCs w:val="24"/>
        </w:rPr>
      </w:pPr>
      <w:r w:rsidRPr="008822A3">
        <w:rPr>
          <w:rFonts w:eastAsia="Arial Narrow"/>
          <w:szCs w:val="24"/>
        </w:rPr>
        <w:t xml:space="preserve">Финансовое положение юридического лица (оценивается по состоянию на </w:t>
      </w:r>
      <w:r>
        <w:rPr>
          <w:rFonts w:eastAsia="Arial Narrow"/>
          <w:szCs w:val="24"/>
        </w:rPr>
        <w:t>последний отчетный период</w:t>
      </w:r>
      <w:r w:rsidRPr="008822A3">
        <w:rPr>
          <w:rFonts w:eastAsia="Arial Narrow"/>
          <w:szCs w:val="24"/>
        </w:rPr>
        <w:t>) может быть оценено как устойчивое при одновременном соблюдении следующих условий:</w:t>
      </w:r>
    </w:p>
    <w:p w14:paraId="31BEB074" w14:textId="77777777" w:rsidR="00B216DD" w:rsidRPr="008822A3" w:rsidRDefault="00B216DD" w:rsidP="00B216DD">
      <w:pPr>
        <w:numPr>
          <w:ilvl w:val="0"/>
          <w:numId w:val="24"/>
        </w:numPr>
        <w:tabs>
          <w:tab w:val="left" w:pos="709"/>
        </w:tabs>
        <w:spacing w:before="240" w:after="0" w:line="240" w:lineRule="auto"/>
        <w:ind w:left="0" w:right="0" w:firstLine="709"/>
        <w:contextualSpacing/>
        <w:rPr>
          <w:rFonts w:eastAsia="Calibri"/>
          <w:szCs w:val="24"/>
        </w:rPr>
      </w:pPr>
      <w:r w:rsidRPr="008822A3">
        <w:rPr>
          <w:rFonts w:eastAsia="Calibri"/>
          <w:szCs w:val="24"/>
        </w:rPr>
        <w:t>Юридическое лицо соответствует следующим требованиям:</w:t>
      </w:r>
    </w:p>
    <w:p w14:paraId="7B841858" w14:textId="77777777" w:rsidR="00B216DD" w:rsidRPr="008822A3" w:rsidRDefault="00B216DD" w:rsidP="00B216DD">
      <w:pPr>
        <w:widowControl w:val="0"/>
        <w:numPr>
          <w:ilvl w:val="0"/>
          <w:numId w:val="23"/>
        </w:numPr>
        <w:tabs>
          <w:tab w:val="left" w:pos="629"/>
          <w:tab w:val="left" w:pos="1134"/>
          <w:tab w:val="left" w:pos="7513"/>
        </w:tabs>
        <w:spacing w:after="0" w:line="240" w:lineRule="auto"/>
        <w:ind w:left="0" w:right="0" w:firstLine="709"/>
        <w:rPr>
          <w:rFonts w:eastAsia="Arial Narrow"/>
          <w:szCs w:val="24"/>
        </w:rPr>
      </w:pPr>
      <w:r w:rsidRPr="008822A3">
        <w:rPr>
          <w:rFonts w:eastAsia="Arial Narrow"/>
          <w:szCs w:val="24"/>
        </w:rPr>
        <w:t>выполнение показателя Чистый долг/EBITDA</w:t>
      </w:r>
      <w:r w:rsidRPr="008822A3">
        <w:rPr>
          <w:rFonts w:eastAsia="Arial Narrow"/>
          <w:szCs w:val="24"/>
          <w:vertAlign w:val="superscript"/>
        </w:rPr>
        <w:footnoteReference w:id="3"/>
      </w:r>
      <w:r w:rsidRPr="008822A3">
        <w:rPr>
          <w:rFonts w:eastAsia="Arial Narrow"/>
          <w:szCs w:val="24"/>
        </w:rPr>
        <w:t xml:space="preserve"> – не более 6;</w:t>
      </w:r>
    </w:p>
    <w:p w14:paraId="15A6EFBE" w14:textId="60DF0A2B" w:rsidR="00B216DD" w:rsidRPr="008822A3" w:rsidRDefault="00B216DD" w:rsidP="00B216DD">
      <w:pPr>
        <w:widowControl w:val="0"/>
        <w:numPr>
          <w:ilvl w:val="0"/>
          <w:numId w:val="23"/>
        </w:numPr>
        <w:tabs>
          <w:tab w:val="left" w:pos="629"/>
          <w:tab w:val="left" w:pos="1134"/>
          <w:tab w:val="left" w:pos="7513"/>
        </w:tabs>
        <w:spacing w:before="80" w:after="0" w:line="240" w:lineRule="auto"/>
        <w:ind w:left="0" w:right="0" w:firstLine="709"/>
        <w:rPr>
          <w:rFonts w:eastAsia="Arial Narrow"/>
          <w:szCs w:val="24"/>
        </w:rPr>
      </w:pPr>
      <w:r w:rsidRPr="008822A3">
        <w:rPr>
          <w:rFonts w:eastAsia="Arial Narrow"/>
          <w:szCs w:val="24"/>
        </w:rPr>
        <w:t xml:space="preserve">размер выручки от реализации за последний завершенный финансовый год должен составлять не менее </w:t>
      </w:r>
      <w:r w:rsidR="00C81D18">
        <w:rPr>
          <w:rFonts w:eastAsia="Arial Narrow"/>
          <w:szCs w:val="24"/>
        </w:rPr>
        <w:t>трех</w:t>
      </w:r>
      <w:r w:rsidRPr="008822A3">
        <w:rPr>
          <w:rFonts w:eastAsia="Arial Narrow"/>
          <w:szCs w:val="24"/>
        </w:rPr>
        <w:t>кратной суммы займа;</w:t>
      </w:r>
    </w:p>
    <w:p w14:paraId="40480498" w14:textId="77777777" w:rsidR="00B216DD" w:rsidRPr="008822A3" w:rsidRDefault="00B216DD" w:rsidP="00B216DD">
      <w:pPr>
        <w:widowControl w:val="0"/>
        <w:numPr>
          <w:ilvl w:val="0"/>
          <w:numId w:val="23"/>
        </w:numPr>
        <w:tabs>
          <w:tab w:val="left" w:pos="629"/>
          <w:tab w:val="left" w:pos="1134"/>
          <w:tab w:val="left" w:pos="7513"/>
        </w:tabs>
        <w:spacing w:before="80" w:after="0" w:line="240" w:lineRule="auto"/>
        <w:ind w:left="0" w:right="0" w:firstLine="709"/>
        <w:rPr>
          <w:rFonts w:eastAsia="Arial Narrow"/>
          <w:szCs w:val="24"/>
        </w:rPr>
      </w:pPr>
      <w:r w:rsidRPr="008822A3">
        <w:rPr>
          <w:rFonts w:eastAsia="Arial Narrow"/>
          <w:szCs w:val="24"/>
        </w:rPr>
        <w:t>отсутствие существенных (более 15%) отрицательных изменений в динамике следующих показателей</w:t>
      </w:r>
      <w:r w:rsidRPr="008822A3">
        <w:rPr>
          <w:rFonts w:eastAsia="Arial Narrow"/>
          <w:szCs w:val="24"/>
          <w:vertAlign w:val="superscript"/>
        </w:rPr>
        <w:footnoteReference w:id="4"/>
      </w:r>
      <w:r w:rsidRPr="008822A3">
        <w:rPr>
          <w:rFonts w:eastAsia="Arial Narrow"/>
          <w:szCs w:val="24"/>
        </w:rPr>
        <w:t>: выручка от реализации, прибыль от продаж, валюта баланса.</w:t>
      </w:r>
    </w:p>
    <w:p w14:paraId="25E51A61" w14:textId="77777777" w:rsidR="00B216DD" w:rsidRPr="008822A3" w:rsidRDefault="00B216DD" w:rsidP="00B216DD">
      <w:pPr>
        <w:widowControl w:val="0"/>
        <w:tabs>
          <w:tab w:val="left" w:pos="567"/>
          <w:tab w:val="left" w:pos="1134"/>
          <w:tab w:val="left" w:pos="7513"/>
        </w:tabs>
        <w:ind w:firstLine="709"/>
        <w:rPr>
          <w:rFonts w:eastAsia="Arial Narrow"/>
          <w:szCs w:val="24"/>
        </w:rPr>
      </w:pPr>
      <w:r w:rsidRPr="008822A3">
        <w:rPr>
          <w:rFonts w:eastAsia="Arial Narrow"/>
          <w:szCs w:val="24"/>
        </w:rPr>
        <w:t>Анализ динамики выручки от реализации и прибыли от продаж осуществляется путем сопоставления значений показателей по итогам двух последних завершенных финансовых лет с предшествующим финансовым годом.</w:t>
      </w:r>
    </w:p>
    <w:p w14:paraId="6131C8F0" w14:textId="77777777" w:rsidR="00B216DD" w:rsidRPr="008822A3" w:rsidRDefault="00B216DD" w:rsidP="00B216DD">
      <w:pPr>
        <w:widowControl w:val="0"/>
        <w:tabs>
          <w:tab w:val="left" w:pos="567"/>
          <w:tab w:val="left" w:pos="1134"/>
          <w:tab w:val="left" w:pos="7513"/>
        </w:tabs>
        <w:ind w:firstLine="709"/>
        <w:rPr>
          <w:rFonts w:eastAsia="Arial Narrow"/>
          <w:szCs w:val="24"/>
        </w:rPr>
      </w:pPr>
      <w:r w:rsidRPr="008822A3">
        <w:rPr>
          <w:rFonts w:eastAsia="Arial Narrow"/>
          <w:szCs w:val="24"/>
        </w:rPr>
        <w:t>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 а также последнего отчетного периода текущего финансового года – с предшествующим ему отчетным периодом.</w:t>
      </w:r>
    </w:p>
    <w:p w14:paraId="4DF686E3" w14:textId="77777777" w:rsidR="00B216DD" w:rsidRPr="008822A3" w:rsidRDefault="00B216DD" w:rsidP="00B216DD">
      <w:pPr>
        <w:widowControl w:val="0"/>
        <w:tabs>
          <w:tab w:val="left" w:pos="567"/>
          <w:tab w:val="left" w:pos="1134"/>
          <w:tab w:val="left" w:pos="7513"/>
        </w:tabs>
        <w:ind w:firstLine="709"/>
        <w:rPr>
          <w:rFonts w:eastAsia="Arial Narrow"/>
          <w:szCs w:val="24"/>
        </w:rPr>
      </w:pPr>
      <w:r w:rsidRPr="008822A3">
        <w:rPr>
          <w:rFonts w:eastAsia="Arial Narrow"/>
          <w:szCs w:val="24"/>
        </w:rPr>
        <w:t>Юридическое лицо признается соответствующим настоящему требованию при выполнении требования в отношении динамики не менее чем четырёх из шести анализируемых значений показателей (выручка от реализации, прибыль от продаж и валюта баланса по итогам года, а также по итогам последнего отчетного периода).</w:t>
      </w:r>
    </w:p>
    <w:p w14:paraId="05A19B4B" w14:textId="77777777" w:rsidR="00B216DD" w:rsidRPr="008822A3" w:rsidRDefault="00B216DD" w:rsidP="00B216DD">
      <w:pPr>
        <w:widowControl w:val="0"/>
        <w:numPr>
          <w:ilvl w:val="0"/>
          <w:numId w:val="23"/>
        </w:numPr>
        <w:tabs>
          <w:tab w:val="left" w:pos="567"/>
          <w:tab w:val="left" w:pos="1134"/>
          <w:tab w:val="left" w:pos="7513"/>
        </w:tabs>
        <w:spacing w:before="80" w:after="0" w:line="240" w:lineRule="auto"/>
        <w:ind w:left="0" w:right="0" w:firstLine="709"/>
        <w:rPr>
          <w:rFonts w:eastAsia="Arial Narrow"/>
          <w:szCs w:val="24"/>
        </w:rPr>
      </w:pPr>
      <w:r w:rsidRPr="008822A3">
        <w:rPr>
          <w:rFonts w:eastAsia="Arial Narrow"/>
          <w:szCs w:val="24"/>
        </w:rPr>
        <w:t>Бухгалтерская отчетность юридического лица за последний завершённый финансовый год должна сопровождаться аудиторским заключением (в случаях, если обязательный аудит бухгалтерской отчётности предусмотрен законодательством</w:t>
      </w:r>
      <w:r w:rsidRPr="008822A3">
        <w:rPr>
          <w:rFonts w:eastAsia="Arial Narrow"/>
          <w:szCs w:val="24"/>
          <w:vertAlign w:val="superscript"/>
          <w:lang w:val="en-US"/>
        </w:rPr>
        <w:footnoteReference w:id="5"/>
      </w:r>
      <w:r w:rsidRPr="008822A3">
        <w:rPr>
          <w:rFonts w:eastAsia="Arial Narrow"/>
          <w:szCs w:val="24"/>
        </w:rPr>
        <w:t xml:space="preserve"> </w:t>
      </w:r>
      <w:r w:rsidRPr="008822A3">
        <w:rPr>
          <w:rFonts w:eastAsia="Arial Narrow"/>
          <w:szCs w:val="24"/>
        </w:rPr>
        <w:lastRenderedPageBreak/>
        <w:t xml:space="preserve">либо аудит был проведен по инициативе юридического лица). Аудиторское заключение не должно содержать отрицательного мнения аудитора или отказа аудитора от выражения мнения. Если на момент представления бухгалтерской отчетности за последний завершённый финансовый год аудиторское заключение отсутствует, оно должно быть представлено в Фонд после его составления в срок не позднее 10 рабочих дней со дня, следующего за датой аудиторского заключения. </w:t>
      </w:r>
    </w:p>
    <w:p w14:paraId="23CF4425" w14:textId="77777777" w:rsidR="00B216DD" w:rsidRDefault="00B216DD" w:rsidP="00B216DD">
      <w:pPr>
        <w:widowControl w:val="0"/>
        <w:numPr>
          <w:ilvl w:val="0"/>
          <w:numId w:val="24"/>
        </w:numPr>
        <w:tabs>
          <w:tab w:val="left" w:pos="567"/>
          <w:tab w:val="left" w:pos="1134"/>
          <w:tab w:val="left" w:pos="7513"/>
        </w:tabs>
        <w:spacing w:after="0" w:line="240" w:lineRule="auto"/>
        <w:ind w:left="0" w:right="0" w:firstLine="709"/>
        <w:rPr>
          <w:rFonts w:eastAsia="Arial Narrow"/>
          <w:sz w:val="20"/>
          <w:szCs w:val="20"/>
        </w:rPr>
      </w:pPr>
      <w:r w:rsidRPr="008822A3">
        <w:rPr>
          <w:rFonts w:eastAsia="Arial Narrow"/>
          <w:szCs w:val="24"/>
        </w:rPr>
        <w:t>Юридическое лицо не находится в процессе ликвидации/ банкротства</w:t>
      </w:r>
      <w:r w:rsidRPr="008822A3">
        <w:rPr>
          <w:rFonts w:eastAsia="Arial Narrow"/>
          <w:sz w:val="20"/>
          <w:szCs w:val="20"/>
        </w:rPr>
        <w:t>.</w:t>
      </w:r>
    </w:p>
    <w:p w14:paraId="6FD22BCC" w14:textId="77777777" w:rsidR="00B216DD" w:rsidRDefault="00B216DD">
      <w:pPr>
        <w:spacing w:after="16" w:line="265" w:lineRule="auto"/>
        <w:ind w:left="-15" w:right="61" w:firstLine="698"/>
        <w:rPr>
          <w:sz w:val="20"/>
        </w:rPr>
      </w:pPr>
    </w:p>
    <w:p w14:paraId="5C76293C" w14:textId="77777777" w:rsidR="00B216DD" w:rsidRDefault="00B216DD">
      <w:pPr>
        <w:spacing w:after="16" w:line="265" w:lineRule="auto"/>
        <w:ind w:left="-15" w:right="61" w:firstLine="698"/>
        <w:rPr>
          <w:sz w:val="20"/>
        </w:rPr>
      </w:pPr>
    </w:p>
    <w:p w14:paraId="01667229" w14:textId="77777777" w:rsidR="00F5544F" w:rsidRDefault="00F5544F" w:rsidP="00B216DD">
      <w:pPr>
        <w:spacing w:after="20" w:line="259" w:lineRule="auto"/>
        <w:ind w:left="10" w:right="54" w:hanging="10"/>
        <w:jc w:val="center"/>
      </w:pPr>
    </w:p>
    <w:p w14:paraId="070708DB" w14:textId="77777777" w:rsidR="00DD0B8D" w:rsidRDefault="00D47DEA">
      <w:pPr>
        <w:spacing w:after="20" w:line="259" w:lineRule="auto"/>
        <w:ind w:left="10" w:right="54" w:hanging="10"/>
        <w:jc w:val="right"/>
      </w:pPr>
      <w:r>
        <w:rPr>
          <w:b/>
        </w:rPr>
        <w:t xml:space="preserve">Приложение № 2 к Стандарту Фонда </w:t>
      </w:r>
    </w:p>
    <w:p w14:paraId="33EB6C49" w14:textId="77777777" w:rsidR="00DD0B8D" w:rsidRDefault="00D47DEA">
      <w:pPr>
        <w:spacing w:after="114" w:line="259" w:lineRule="auto"/>
        <w:ind w:left="4779" w:right="54" w:hanging="10"/>
        <w:jc w:val="right"/>
      </w:pPr>
      <w:r>
        <w:rPr>
          <w:b/>
        </w:rPr>
        <w:t xml:space="preserve">«Порядок обеспечения возврата займов, предоставленных в качестве финансирования проектов» </w:t>
      </w:r>
    </w:p>
    <w:p w14:paraId="69A6053B" w14:textId="77777777" w:rsidR="00DD0B8D" w:rsidRDefault="00D47DEA">
      <w:pPr>
        <w:spacing w:after="17" w:line="259" w:lineRule="auto"/>
        <w:ind w:right="0" w:firstLine="0"/>
        <w:jc w:val="left"/>
      </w:pPr>
      <w:r>
        <w:rPr>
          <w:sz w:val="22"/>
        </w:rPr>
        <w:t xml:space="preserve"> </w:t>
      </w:r>
    </w:p>
    <w:p w14:paraId="2123AB09" w14:textId="77777777" w:rsidR="00DD0B8D" w:rsidRDefault="00D47DEA">
      <w:pPr>
        <w:spacing w:after="80" w:line="259" w:lineRule="auto"/>
        <w:ind w:right="0" w:firstLine="0"/>
        <w:jc w:val="left"/>
      </w:pPr>
      <w:r>
        <w:rPr>
          <w:sz w:val="22"/>
        </w:rPr>
        <w:t xml:space="preserve"> </w:t>
      </w:r>
    </w:p>
    <w:p w14:paraId="706542BF" w14:textId="77777777" w:rsidR="00DD0B8D" w:rsidRDefault="00D47DEA">
      <w:pPr>
        <w:spacing w:after="20" w:line="259" w:lineRule="auto"/>
        <w:ind w:left="10" w:right="70" w:hanging="10"/>
        <w:jc w:val="center"/>
      </w:pPr>
      <w:r>
        <w:rPr>
          <w:b/>
        </w:rPr>
        <w:t xml:space="preserve">Виды Дополнительного обеспечения, </w:t>
      </w:r>
    </w:p>
    <w:p w14:paraId="77BE885A" w14:textId="77777777" w:rsidR="00DD0B8D" w:rsidRDefault="00D47DEA">
      <w:pPr>
        <w:pStyle w:val="2"/>
        <w:spacing w:after="114" w:line="259" w:lineRule="auto"/>
        <w:ind w:left="10"/>
        <w:jc w:val="center"/>
      </w:pPr>
      <w:r>
        <w:t>принимаемого Фондом развития промышленности Тульской области по финансируемым проектам</w:t>
      </w:r>
      <w:r>
        <w:rPr>
          <w:b w:val="0"/>
          <w:sz w:val="22"/>
        </w:rPr>
        <w:t xml:space="preserve"> </w:t>
      </w:r>
    </w:p>
    <w:p w14:paraId="6381E558" w14:textId="77777777" w:rsidR="00DD0B8D" w:rsidRDefault="00D47DEA">
      <w:pPr>
        <w:spacing w:after="120" w:line="259" w:lineRule="auto"/>
        <w:ind w:right="0" w:firstLine="0"/>
        <w:jc w:val="left"/>
      </w:pPr>
      <w:r>
        <w:t xml:space="preserve"> </w:t>
      </w:r>
    </w:p>
    <w:p w14:paraId="09485C87" w14:textId="77777777" w:rsidR="00DD0B8D" w:rsidRDefault="00D47DEA">
      <w:pPr>
        <w:spacing w:after="156" w:line="259" w:lineRule="auto"/>
        <w:ind w:right="0" w:firstLine="0"/>
        <w:jc w:val="left"/>
      </w:pPr>
      <w:r>
        <w:t xml:space="preserve"> </w:t>
      </w:r>
    </w:p>
    <w:p w14:paraId="38126EAD" w14:textId="77777777" w:rsidR="00DD0B8D" w:rsidRDefault="00D47DEA">
      <w:pPr>
        <w:numPr>
          <w:ilvl w:val="0"/>
          <w:numId w:val="17"/>
        </w:numPr>
        <w:spacing w:after="0"/>
        <w:ind w:right="58" w:hanging="360"/>
      </w:pPr>
      <w:r>
        <w:t xml:space="preserve">Поручительства физических лиц. </w:t>
      </w:r>
    </w:p>
    <w:p w14:paraId="362CAF33" w14:textId="77777777" w:rsidR="00DD0B8D" w:rsidRDefault="00D47DEA">
      <w:pPr>
        <w:spacing w:after="77" w:line="259" w:lineRule="auto"/>
        <w:ind w:left="720" w:right="0" w:firstLine="0"/>
        <w:jc w:val="left"/>
      </w:pPr>
      <w:r>
        <w:rPr>
          <w:sz w:val="22"/>
        </w:rPr>
        <w:t xml:space="preserve"> </w:t>
      </w:r>
    </w:p>
    <w:p w14:paraId="6B4A14E3" w14:textId="77777777" w:rsidR="00DD0B8D" w:rsidRDefault="00D47DEA">
      <w:pPr>
        <w:numPr>
          <w:ilvl w:val="0"/>
          <w:numId w:val="17"/>
        </w:numPr>
        <w:spacing w:after="10"/>
        <w:ind w:right="58" w:hanging="360"/>
      </w:pPr>
      <w:r>
        <w:t xml:space="preserve">Приобретаемое в процессе реализации проекта имущество, не отвечающее требованиям отнесения к Основному обеспечению. </w:t>
      </w:r>
    </w:p>
    <w:p w14:paraId="14102EBF" w14:textId="77777777" w:rsidR="00DD0B8D" w:rsidRDefault="00D47DEA">
      <w:pPr>
        <w:spacing w:after="62" w:line="259" w:lineRule="auto"/>
        <w:ind w:left="720" w:right="0" w:firstLine="0"/>
        <w:jc w:val="left"/>
      </w:pPr>
      <w:r>
        <w:t xml:space="preserve"> </w:t>
      </w:r>
    </w:p>
    <w:p w14:paraId="4BDE069D" w14:textId="77777777" w:rsidR="00DD0B8D" w:rsidRDefault="00D47DEA">
      <w:pPr>
        <w:numPr>
          <w:ilvl w:val="0"/>
          <w:numId w:val="17"/>
        </w:numPr>
        <w:spacing w:after="9"/>
        <w:ind w:right="58" w:hanging="360"/>
      </w:pPr>
      <w:r>
        <w:t xml:space="preserve">Другие виды Обеспечения, которые по результатам оценки их качества не могут быть отнесены к Основному обеспечению. </w:t>
      </w:r>
    </w:p>
    <w:p w14:paraId="32CC6924" w14:textId="56D0F4BE" w:rsidR="00DD0B8D" w:rsidRDefault="00D47DEA" w:rsidP="00F5544F">
      <w:pPr>
        <w:spacing w:after="117" w:line="259" w:lineRule="auto"/>
        <w:ind w:left="720" w:right="0" w:firstLine="0"/>
        <w:jc w:val="left"/>
      </w:pPr>
      <w:r>
        <w:rPr>
          <w:sz w:val="22"/>
        </w:rPr>
        <w:t xml:space="preserve"> </w:t>
      </w:r>
    </w:p>
    <w:p w14:paraId="2076F126" w14:textId="77777777" w:rsidR="00F5544F" w:rsidRDefault="00F5544F">
      <w:pPr>
        <w:spacing w:after="20" w:line="259" w:lineRule="auto"/>
        <w:ind w:left="10" w:right="54" w:hanging="10"/>
        <w:jc w:val="right"/>
        <w:rPr>
          <w:b/>
        </w:rPr>
      </w:pPr>
    </w:p>
    <w:p w14:paraId="4925998B" w14:textId="77777777" w:rsidR="00F5544F" w:rsidRDefault="00F5544F">
      <w:pPr>
        <w:spacing w:after="20" w:line="259" w:lineRule="auto"/>
        <w:ind w:left="10" w:right="54" w:hanging="10"/>
        <w:jc w:val="right"/>
        <w:rPr>
          <w:b/>
        </w:rPr>
      </w:pPr>
    </w:p>
    <w:p w14:paraId="4C64FA45" w14:textId="77777777" w:rsidR="00F5544F" w:rsidRDefault="00F5544F">
      <w:pPr>
        <w:spacing w:after="20" w:line="259" w:lineRule="auto"/>
        <w:ind w:left="10" w:right="54" w:hanging="10"/>
        <w:jc w:val="right"/>
        <w:rPr>
          <w:b/>
        </w:rPr>
      </w:pPr>
    </w:p>
    <w:p w14:paraId="7114F5C5" w14:textId="77777777" w:rsidR="00F5544F" w:rsidRDefault="00F5544F">
      <w:pPr>
        <w:spacing w:after="20" w:line="259" w:lineRule="auto"/>
        <w:ind w:left="10" w:right="54" w:hanging="10"/>
        <w:jc w:val="right"/>
        <w:rPr>
          <w:b/>
        </w:rPr>
      </w:pPr>
    </w:p>
    <w:p w14:paraId="55AA7102" w14:textId="77777777" w:rsidR="00F5544F" w:rsidRDefault="00F5544F">
      <w:pPr>
        <w:spacing w:after="20" w:line="259" w:lineRule="auto"/>
        <w:ind w:left="10" w:right="54" w:hanging="10"/>
        <w:jc w:val="right"/>
        <w:rPr>
          <w:b/>
        </w:rPr>
      </w:pPr>
    </w:p>
    <w:p w14:paraId="487142FF" w14:textId="77777777" w:rsidR="00F5544F" w:rsidRDefault="00F5544F">
      <w:pPr>
        <w:spacing w:after="20" w:line="259" w:lineRule="auto"/>
        <w:ind w:left="10" w:right="54" w:hanging="10"/>
        <w:jc w:val="right"/>
        <w:rPr>
          <w:b/>
        </w:rPr>
      </w:pPr>
    </w:p>
    <w:p w14:paraId="4D9E9CE6" w14:textId="77777777" w:rsidR="00F5544F" w:rsidRDefault="00F5544F">
      <w:pPr>
        <w:spacing w:after="20" w:line="259" w:lineRule="auto"/>
        <w:ind w:left="10" w:right="54" w:hanging="10"/>
        <w:jc w:val="right"/>
        <w:rPr>
          <w:b/>
        </w:rPr>
      </w:pPr>
    </w:p>
    <w:p w14:paraId="6E888E90" w14:textId="77777777" w:rsidR="00F5544F" w:rsidRDefault="00F5544F">
      <w:pPr>
        <w:spacing w:after="20" w:line="259" w:lineRule="auto"/>
        <w:ind w:left="10" w:right="54" w:hanging="10"/>
        <w:jc w:val="right"/>
        <w:rPr>
          <w:b/>
        </w:rPr>
      </w:pPr>
    </w:p>
    <w:p w14:paraId="208B6B9B" w14:textId="77777777" w:rsidR="00F5544F" w:rsidRDefault="00F5544F">
      <w:pPr>
        <w:spacing w:after="20" w:line="259" w:lineRule="auto"/>
        <w:ind w:left="10" w:right="54" w:hanging="10"/>
        <w:jc w:val="right"/>
        <w:rPr>
          <w:b/>
        </w:rPr>
      </w:pPr>
    </w:p>
    <w:p w14:paraId="21B2F4F4" w14:textId="77777777" w:rsidR="00F5544F" w:rsidRDefault="00F5544F">
      <w:pPr>
        <w:spacing w:after="20" w:line="259" w:lineRule="auto"/>
        <w:ind w:left="10" w:right="54" w:hanging="10"/>
        <w:jc w:val="right"/>
        <w:rPr>
          <w:b/>
        </w:rPr>
      </w:pPr>
    </w:p>
    <w:p w14:paraId="6FAB4AEA" w14:textId="77777777" w:rsidR="00F5544F" w:rsidRDefault="00F5544F">
      <w:pPr>
        <w:spacing w:after="20" w:line="259" w:lineRule="auto"/>
        <w:ind w:left="10" w:right="54" w:hanging="10"/>
        <w:jc w:val="right"/>
        <w:rPr>
          <w:b/>
        </w:rPr>
      </w:pPr>
    </w:p>
    <w:p w14:paraId="7794CBE9" w14:textId="77777777" w:rsidR="00F5544F" w:rsidRDefault="00F5544F">
      <w:pPr>
        <w:spacing w:after="20" w:line="259" w:lineRule="auto"/>
        <w:ind w:left="10" w:right="54" w:hanging="10"/>
        <w:jc w:val="right"/>
        <w:rPr>
          <w:b/>
        </w:rPr>
      </w:pPr>
    </w:p>
    <w:p w14:paraId="48AAF6AF" w14:textId="77777777" w:rsidR="00F5544F" w:rsidRDefault="00F5544F">
      <w:pPr>
        <w:spacing w:after="20" w:line="259" w:lineRule="auto"/>
        <w:ind w:left="10" w:right="54" w:hanging="10"/>
        <w:jc w:val="right"/>
        <w:rPr>
          <w:b/>
        </w:rPr>
      </w:pPr>
    </w:p>
    <w:p w14:paraId="13D76E3F" w14:textId="77777777" w:rsidR="00F5544F" w:rsidRDefault="00F5544F">
      <w:pPr>
        <w:spacing w:after="20" w:line="259" w:lineRule="auto"/>
        <w:ind w:left="10" w:right="54" w:hanging="10"/>
        <w:jc w:val="right"/>
        <w:rPr>
          <w:b/>
        </w:rPr>
      </w:pPr>
    </w:p>
    <w:p w14:paraId="6CEA9E30" w14:textId="77777777" w:rsidR="00F5544F" w:rsidRDefault="00F5544F">
      <w:pPr>
        <w:spacing w:after="20" w:line="259" w:lineRule="auto"/>
        <w:ind w:left="10" w:right="54" w:hanging="10"/>
        <w:jc w:val="right"/>
        <w:rPr>
          <w:b/>
        </w:rPr>
      </w:pPr>
    </w:p>
    <w:p w14:paraId="0D1066BD" w14:textId="77777777" w:rsidR="00F5544F" w:rsidRDefault="00F5544F">
      <w:pPr>
        <w:spacing w:after="20" w:line="259" w:lineRule="auto"/>
        <w:ind w:left="10" w:right="54" w:hanging="10"/>
        <w:jc w:val="right"/>
        <w:rPr>
          <w:b/>
        </w:rPr>
      </w:pPr>
    </w:p>
    <w:p w14:paraId="0A97AB86" w14:textId="77777777" w:rsidR="00F5544F" w:rsidRDefault="00F5544F">
      <w:pPr>
        <w:spacing w:after="20" w:line="259" w:lineRule="auto"/>
        <w:ind w:left="10" w:right="54" w:hanging="10"/>
        <w:jc w:val="right"/>
        <w:rPr>
          <w:b/>
        </w:rPr>
      </w:pPr>
    </w:p>
    <w:p w14:paraId="333EF85C" w14:textId="77777777" w:rsidR="00F5544F" w:rsidRDefault="00F5544F">
      <w:pPr>
        <w:spacing w:after="20" w:line="259" w:lineRule="auto"/>
        <w:ind w:left="10" w:right="54" w:hanging="10"/>
        <w:jc w:val="right"/>
        <w:rPr>
          <w:b/>
        </w:rPr>
      </w:pPr>
    </w:p>
    <w:p w14:paraId="2756E3D8" w14:textId="77777777" w:rsidR="00F5544F" w:rsidRDefault="00F5544F">
      <w:pPr>
        <w:spacing w:after="20" w:line="259" w:lineRule="auto"/>
        <w:ind w:left="10" w:right="54" w:hanging="10"/>
        <w:jc w:val="right"/>
        <w:rPr>
          <w:b/>
        </w:rPr>
      </w:pPr>
    </w:p>
    <w:p w14:paraId="146C14FB" w14:textId="77777777" w:rsidR="00F5544F" w:rsidRDefault="00F5544F">
      <w:pPr>
        <w:spacing w:after="20" w:line="259" w:lineRule="auto"/>
        <w:ind w:left="10" w:right="54" w:hanging="10"/>
        <w:jc w:val="right"/>
        <w:rPr>
          <w:b/>
        </w:rPr>
      </w:pPr>
    </w:p>
    <w:p w14:paraId="356857FF" w14:textId="77777777" w:rsidR="00F5544F" w:rsidRDefault="00F5544F">
      <w:pPr>
        <w:spacing w:after="20" w:line="259" w:lineRule="auto"/>
        <w:ind w:left="10" w:right="54" w:hanging="10"/>
        <w:jc w:val="right"/>
        <w:rPr>
          <w:b/>
        </w:rPr>
      </w:pPr>
    </w:p>
    <w:p w14:paraId="701985AA" w14:textId="77777777" w:rsidR="00F5544F" w:rsidRDefault="00F5544F">
      <w:pPr>
        <w:spacing w:after="20" w:line="259" w:lineRule="auto"/>
        <w:ind w:left="10" w:right="54" w:hanging="10"/>
        <w:jc w:val="right"/>
        <w:rPr>
          <w:b/>
        </w:rPr>
      </w:pPr>
    </w:p>
    <w:p w14:paraId="41933130" w14:textId="77777777" w:rsidR="00F5544F" w:rsidRDefault="00F5544F">
      <w:pPr>
        <w:spacing w:after="20" w:line="259" w:lineRule="auto"/>
        <w:ind w:left="10" w:right="54" w:hanging="10"/>
        <w:jc w:val="right"/>
        <w:rPr>
          <w:b/>
        </w:rPr>
      </w:pPr>
    </w:p>
    <w:p w14:paraId="20A91A03" w14:textId="77777777" w:rsidR="00F5544F" w:rsidRDefault="00F5544F">
      <w:pPr>
        <w:spacing w:after="20" w:line="259" w:lineRule="auto"/>
        <w:ind w:left="10" w:right="54" w:hanging="10"/>
        <w:jc w:val="right"/>
        <w:rPr>
          <w:b/>
        </w:rPr>
      </w:pPr>
    </w:p>
    <w:p w14:paraId="66EA69AF" w14:textId="46D2D102" w:rsidR="00DD0B8D" w:rsidRDefault="00D47DEA">
      <w:pPr>
        <w:spacing w:after="20" w:line="259" w:lineRule="auto"/>
        <w:ind w:left="10" w:right="54" w:hanging="10"/>
        <w:jc w:val="right"/>
      </w:pPr>
      <w:r>
        <w:rPr>
          <w:b/>
        </w:rPr>
        <w:t xml:space="preserve">Приложение № 3 к Стандарту Фонда </w:t>
      </w:r>
    </w:p>
    <w:p w14:paraId="49E55616" w14:textId="77777777" w:rsidR="00DD0B8D" w:rsidRDefault="00D47DEA">
      <w:pPr>
        <w:spacing w:after="27" w:line="268" w:lineRule="auto"/>
        <w:ind w:left="5108" w:right="0" w:firstLine="586"/>
        <w:jc w:val="left"/>
      </w:pPr>
      <w:r>
        <w:rPr>
          <w:b/>
        </w:rPr>
        <w:t xml:space="preserve">«Порядок обеспечения возврата займов, предоставленных в качестве финансирования проектов» </w:t>
      </w:r>
    </w:p>
    <w:p w14:paraId="7E2458F7" w14:textId="77777777" w:rsidR="00DD0B8D" w:rsidRDefault="00D47DEA">
      <w:pPr>
        <w:spacing w:after="98" w:line="259" w:lineRule="auto"/>
        <w:ind w:right="0" w:firstLine="0"/>
        <w:jc w:val="right"/>
      </w:pPr>
      <w:r>
        <w:rPr>
          <w:b/>
        </w:rPr>
        <w:t xml:space="preserve"> </w:t>
      </w:r>
    </w:p>
    <w:p w14:paraId="5375E6CD" w14:textId="77777777" w:rsidR="00DD0B8D" w:rsidRDefault="00D47DEA">
      <w:pPr>
        <w:spacing w:after="98" w:line="259" w:lineRule="auto"/>
        <w:ind w:left="567" w:right="0" w:firstLine="0"/>
        <w:jc w:val="center"/>
      </w:pPr>
      <w:r>
        <w:rPr>
          <w:b/>
        </w:rPr>
        <w:t xml:space="preserve"> </w:t>
      </w:r>
    </w:p>
    <w:p w14:paraId="6D24360A" w14:textId="77777777" w:rsidR="00DD0B8D" w:rsidRDefault="00D47DEA">
      <w:pPr>
        <w:pStyle w:val="2"/>
        <w:spacing w:after="98" w:line="259" w:lineRule="auto"/>
        <w:ind w:left="754"/>
      </w:pPr>
      <w:r>
        <w:t xml:space="preserve">Виды имущества, не принимаемого Фондом развития промышленности Тульской области в качестве Обеспечения  </w:t>
      </w:r>
    </w:p>
    <w:p w14:paraId="213A093B" w14:textId="77777777" w:rsidR="00DD0B8D" w:rsidRDefault="00D47DEA">
      <w:pPr>
        <w:spacing w:after="147" w:line="259" w:lineRule="auto"/>
        <w:ind w:left="566" w:right="0" w:firstLine="0"/>
        <w:jc w:val="left"/>
      </w:pPr>
      <w:r>
        <w:rPr>
          <w:b/>
        </w:rPr>
        <w:t xml:space="preserve"> </w:t>
      </w:r>
      <w:r>
        <w:rPr>
          <w:b/>
        </w:rPr>
        <w:tab/>
        <w:t xml:space="preserve"> </w:t>
      </w:r>
    </w:p>
    <w:p w14:paraId="4A80EFFA" w14:textId="77777777" w:rsidR="00DD0B8D" w:rsidRDefault="00D47DEA">
      <w:pPr>
        <w:spacing w:after="176"/>
        <w:ind w:left="-15" w:right="58" w:firstLine="566"/>
      </w:pPr>
      <w:r>
        <w:t xml:space="preserve">1. Имущество, залог которого ограничен или запрещен законом (ст. 336 Гражданского кодекса РФ):  </w:t>
      </w:r>
    </w:p>
    <w:p w14:paraId="4F8337F7" w14:textId="77777777" w:rsidR="00DD0B8D" w:rsidRDefault="00D47DEA">
      <w:pPr>
        <w:numPr>
          <w:ilvl w:val="0"/>
          <w:numId w:val="18"/>
        </w:numPr>
        <w:spacing w:after="173"/>
        <w:ind w:right="58" w:firstLine="566"/>
      </w:pPr>
      <w:r>
        <w:t xml:space="preserve">объекты гражданских прав, ограниченные в обороте (ст. 129 Гражданского кодекса РФ); </w:t>
      </w:r>
    </w:p>
    <w:p w14:paraId="7806D904" w14:textId="77777777" w:rsidR="00DD0B8D" w:rsidRDefault="00D47DEA">
      <w:pPr>
        <w:numPr>
          <w:ilvl w:val="0"/>
          <w:numId w:val="18"/>
        </w:numPr>
        <w:spacing w:after="173"/>
        <w:ind w:right="58" w:firstLine="566"/>
      </w:pPr>
      <w:r>
        <w:t xml:space="preserve">имущество, которое не может свободно отчуждаться или переходить от одного лица к другому (п. 1 ст. 129 Гражданского кодекса РФ); </w:t>
      </w:r>
    </w:p>
    <w:p w14:paraId="39C069F0" w14:textId="77777777" w:rsidR="00DD0B8D" w:rsidRDefault="00D47DEA">
      <w:pPr>
        <w:numPr>
          <w:ilvl w:val="0"/>
          <w:numId w:val="18"/>
        </w:numPr>
        <w:spacing w:after="178"/>
        <w:ind w:right="58" w:firstLine="566"/>
      </w:pPr>
      <w:r>
        <w:t xml:space="preserve">виды объектов гражданских прав, в отношении которых введены ограничения </w:t>
      </w:r>
      <w:proofErr w:type="spellStart"/>
      <w:r>
        <w:t>оборотоспособности</w:t>
      </w:r>
      <w:proofErr w:type="spellEnd"/>
      <w:r>
        <w:t xml:space="preserve">, должны быть прямо указаны в законе (п. 2 ст. 129 Гражданского кодекса РФ). </w:t>
      </w:r>
    </w:p>
    <w:p w14:paraId="25ACDCDA" w14:textId="77777777" w:rsidR="00DD0B8D" w:rsidRDefault="00D47DEA">
      <w:pPr>
        <w:numPr>
          <w:ilvl w:val="0"/>
          <w:numId w:val="19"/>
        </w:numPr>
        <w:spacing w:after="174"/>
        <w:ind w:right="58" w:firstLine="566"/>
      </w:pPr>
      <w:r>
        <w:t xml:space="preserve">Имущество, свободная реализация которого запрещена в соответствии с законодательством РФ: вооружение, боеприпасы, военная техника, все виды ракетного топлива, ракетно-космические комплексы, системы связи и управления военного назначения и т.д. </w:t>
      </w:r>
    </w:p>
    <w:p w14:paraId="73A167AA" w14:textId="77777777" w:rsidR="00DD0B8D" w:rsidRDefault="00D47DEA">
      <w:pPr>
        <w:numPr>
          <w:ilvl w:val="0"/>
          <w:numId w:val="19"/>
        </w:numPr>
        <w:spacing w:after="176"/>
        <w:ind w:right="58" w:firstLine="566"/>
      </w:pPr>
      <w:r>
        <w:t xml:space="preserve">Земельные участки, перечисленные в ст. 27 Земельного кодекса РФ:  </w:t>
      </w:r>
    </w:p>
    <w:p w14:paraId="1212E81C" w14:textId="77777777" w:rsidR="00DD0B8D" w:rsidRDefault="00D47DEA">
      <w:pPr>
        <w:numPr>
          <w:ilvl w:val="0"/>
          <w:numId w:val="20"/>
        </w:numPr>
        <w:spacing w:after="229" w:line="252" w:lineRule="auto"/>
        <w:ind w:right="58" w:firstLine="566"/>
      </w:pPr>
      <w:r>
        <w:t xml:space="preserve">находящиеся в государственной или муниципальной собственности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w:t>
      </w:r>
      <w:r>
        <w:lastRenderedPageBreak/>
        <w:t xml:space="preserve">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занятые объектами космической инфраструктуры и т.д.; </w:t>
      </w:r>
    </w:p>
    <w:p w14:paraId="7A5F3DAE" w14:textId="77777777" w:rsidR="00DD0B8D" w:rsidRDefault="00D47DEA">
      <w:pPr>
        <w:numPr>
          <w:ilvl w:val="0"/>
          <w:numId w:val="20"/>
        </w:numPr>
        <w:spacing w:line="246" w:lineRule="auto"/>
        <w:ind w:right="58" w:firstLine="566"/>
      </w:pPr>
      <w:r>
        <w:t xml:space="preserve">изъятые из оборота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зданиями, сооружениями, в которых размещены военные суды, объектами организаций федеральной службы безопасности, объектами организаций органов государственной охраны, объектами использования атомной энергии, пунктами хранения ядерных материалов и радиоактивных веществ, объектами, в соответствии с видами деятельности которых созданы закрытые </w:t>
      </w:r>
      <w:proofErr w:type="spellStart"/>
      <w:r>
        <w:t>административнотерриториальные</w:t>
      </w:r>
      <w:proofErr w:type="spellEnd"/>
      <w:r>
        <w:t xml:space="preserve"> образования, объектами учреждений и органов Федеральной службы исполнения наказаний и т.д. </w:t>
      </w:r>
    </w:p>
    <w:p w14:paraId="32CE2F4D" w14:textId="77777777" w:rsidR="00DD0B8D" w:rsidRDefault="00D47DEA">
      <w:pPr>
        <w:numPr>
          <w:ilvl w:val="0"/>
          <w:numId w:val="21"/>
        </w:numPr>
        <w:spacing w:after="176"/>
        <w:ind w:right="58" w:firstLine="566"/>
      </w:pPr>
      <w:r>
        <w:t xml:space="preserve">Земельные участки, относящиеся к лесному фонду (ст. 8 Лесного кодекса РФ). </w:t>
      </w:r>
    </w:p>
    <w:p w14:paraId="2AF976D0" w14:textId="77777777" w:rsidR="00DD0B8D" w:rsidRDefault="00D47DEA">
      <w:pPr>
        <w:numPr>
          <w:ilvl w:val="0"/>
          <w:numId w:val="21"/>
        </w:numPr>
        <w:spacing w:after="175"/>
        <w:ind w:right="58" w:firstLine="566"/>
      </w:pPr>
      <w:r>
        <w:t xml:space="preserve">Участки недр (ст. 1.2 Закона РФ "О недрах"). </w:t>
      </w:r>
    </w:p>
    <w:p w14:paraId="3F4FDB3C" w14:textId="77777777" w:rsidR="00DD0B8D" w:rsidRDefault="00D47DEA">
      <w:pPr>
        <w:numPr>
          <w:ilvl w:val="0"/>
          <w:numId w:val="21"/>
        </w:numPr>
        <w:spacing w:after="227" w:line="252" w:lineRule="auto"/>
        <w:ind w:right="58" w:firstLine="566"/>
      </w:pPr>
      <w:r>
        <w:t xml:space="preserve">Часть земельного участка, площадь которого меньше минимального размера, установленного нормативными актами субъектов РФ и нормативными актами органов местного самоуправления для земель различного и разрешенного использования (ст. 63 Закона "Об ипотеке"). </w:t>
      </w:r>
    </w:p>
    <w:p w14:paraId="759A662F" w14:textId="77777777" w:rsidR="00DD0B8D" w:rsidRDefault="00D47DEA">
      <w:pPr>
        <w:numPr>
          <w:ilvl w:val="0"/>
          <w:numId w:val="21"/>
        </w:numPr>
        <w:spacing w:after="177"/>
        <w:ind w:right="58" w:firstLine="566"/>
      </w:pPr>
      <w:r>
        <w:t xml:space="preserve">Доли в праве собственности на земельный участок (ст. 62 Закона "Об ипотеке", кроме случая залога доли в праве собственности на земельный участок одновременно с залогом здания, сооружения, помещения (ст. 69 Закона "Об ипотеке"). </w:t>
      </w:r>
    </w:p>
    <w:p w14:paraId="3F4F0DAA" w14:textId="77777777" w:rsidR="00DD0B8D" w:rsidRDefault="00D47DEA">
      <w:pPr>
        <w:numPr>
          <w:ilvl w:val="0"/>
          <w:numId w:val="21"/>
        </w:numPr>
        <w:spacing w:after="173"/>
        <w:ind w:right="58" w:firstLine="566"/>
      </w:pPr>
      <w:r>
        <w:t xml:space="preserve">Недвижимое имущество граждан, на которое в соответствии с законодательством не может быть обращено взыскание (ст. 446 ГПК РФ).  </w:t>
      </w:r>
    </w:p>
    <w:p w14:paraId="56CBFE82" w14:textId="77777777" w:rsidR="00DD0B8D" w:rsidRDefault="00D47DEA">
      <w:pPr>
        <w:numPr>
          <w:ilvl w:val="0"/>
          <w:numId w:val="21"/>
        </w:numPr>
        <w:spacing w:after="175"/>
        <w:ind w:right="58" w:firstLine="566"/>
      </w:pPr>
      <w:r>
        <w:t xml:space="preserve">Другие объекты гражданских прав, на которые в соответствии с законом не может быть обращено взыскание, изъятые из оборота, свободная реализация которых запрещена.  </w:t>
      </w:r>
    </w:p>
    <w:p w14:paraId="6AEFB391" w14:textId="77777777" w:rsidR="00DD0B8D" w:rsidRDefault="00D47DEA">
      <w:pPr>
        <w:numPr>
          <w:ilvl w:val="0"/>
          <w:numId w:val="21"/>
        </w:numPr>
        <w:spacing w:after="173"/>
        <w:ind w:right="58" w:firstLine="566"/>
      </w:pPr>
      <w:r>
        <w:t xml:space="preserve">Охраняемые результаты интеллектуальной деятельности и приравненные к ним средства индивидуализации (интеллектуальная собственность). </w:t>
      </w:r>
    </w:p>
    <w:p w14:paraId="08C8A290" w14:textId="77777777" w:rsidR="00DD0B8D" w:rsidRDefault="00D47DEA">
      <w:pPr>
        <w:numPr>
          <w:ilvl w:val="0"/>
          <w:numId w:val="21"/>
        </w:numPr>
        <w:spacing w:after="174"/>
        <w:ind w:right="58" w:firstLine="566"/>
      </w:pPr>
      <w:r>
        <w:t xml:space="preserve">Земельные участки сельскохозяйственного назначения. </w:t>
      </w:r>
    </w:p>
    <w:p w14:paraId="14111C8C" w14:textId="77777777" w:rsidR="00DD0B8D" w:rsidRDefault="00D47DEA">
      <w:pPr>
        <w:numPr>
          <w:ilvl w:val="0"/>
          <w:numId w:val="21"/>
        </w:numPr>
        <w:spacing w:after="172"/>
        <w:ind w:right="58" w:firstLine="566"/>
      </w:pPr>
      <w:r>
        <w:t xml:space="preserve">Права пользования (аренда) имуществом, за исключением случаев, прямо указанных в настоящем стандарте. </w:t>
      </w:r>
    </w:p>
    <w:p w14:paraId="6F80DD1B" w14:textId="77777777" w:rsidR="00DD0B8D" w:rsidRDefault="00D47DEA">
      <w:pPr>
        <w:numPr>
          <w:ilvl w:val="0"/>
          <w:numId w:val="21"/>
        </w:numPr>
        <w:spacing w:after="176"/>
        <w:ind w:right="58" w:firstLine="566"/>
      </w:pPr>
      <w:r>
        <w:t xml:space="preserve">Обязательственные права (право требования) по договорам (контрактам). </w:t>
      </w:r>
    </w:p>
    <w:p w14:paraId="3DAF4221" w14:textId="77777777" w:rsidR="00DD0B8D" w:rsidRDefault="00D47DEA">
      <w:pPr>
        <w:numPr>
          <w:ilvl w:val="0"/>
          <w:numId w:val="21"/>
        </w:numPr>
        <w:spacing w:after="174"/>
        <w:ind w:right="58" w:firstLine="566"/>
      </w:pPr>
      <w:r>
        <w:t xml:space="preserve">Имущество, находящееся за пределами Российской Федерации. </w:t>
      </w:r>
    </w:p>
    <w:p w14:paraId="0788C66E" w14:textId="77777777" w:rsidR="00DD0B8D" w:rsidRDefault="00D47DEA">
      <w:pPr>
        <w:numPr>
          <w:ilvl w:val="0"/>
          <w:numId w:val="21"/>
        </w:numPr>
        <w:spacing w:after="232" w:line="247" w:lineRule="auto"/>
        <w:ind w:right="58" w:firstLine="566"/>
      </w:pPr>
      <w:r>
        <w:lastRenderedPageBreak/>
        <w:t xml:space="preserve">Государственное или муниципальное имущество, переданное юридическим лицам на праве оперативного управления или хозяйственного ведения, за исключением имущества государственных унитарных предприятий и муниципальных унитарных предприятий, отчуждение которого не лишит предприятие возможности осуществлять деятельность, цели, предмет, виды которой определены уставом такого предприятия. </w:t>
      </w:r>
    </w:p>
    <w:p w14:paraId="253126A8" w14:textId="77777777" w:rsidR="00DD0B8D" w:rsidRDefault="00D47DEA">
      <w:pPr>
        <w:numPr>
          <w:ilvl w:val="0"/>
          <w:numId w:val="21"/>
        </w:numPr>
        <w:spacing w:after="175"/>
        <w:ind w:right="58" w:firstLine="566"/>
      </w:pPr>
      <w:r>
        <w:t xml:space="preserve">Государственные и корпоративные облигации, номинированные в рублях и обращающиеся на российском биржевом рынке. </w:t>
      </w:r>
    </w:p>
    <w:p w14:paraId="69A4B373" w14:textId="77777777" w:rsidR="00DD0B8D" w:rsidRDefault="00D47DEA">
      <w:pPr>
        <w:numPr>
          <w:ilvl w:val="0"/>
          <w:numId w:val="21"/>
        </w:numPr>
        <w:ind w:right="58" w:firstLine="566"/>
      </w:pPr>
      <w:r>
        <w:t xml:space="preserve">Акции юридических лиц и доли участия в уставном капитале юридических лиц. </w:t>
      </w:r>
    </w:p>
    <w:p w14:paraId="6E853A5C" w14:textId="77777777" w:rsidR="00DD0B8D" w:rsidRDefault="00D47DEA">
      <w:pPr>
        <w:spacing w:after="0" w:line="259" w:lineRule="auto"/>
        <w:ind w:left="566" w:right="0" w:firstLine="0"/>
        <w:jc w:val="left"/>
      </w:pPr>
      <w:r>
        <w:rPr>
          <w:b/>
        </w:rPr>
        <w:t xml:space="preserve"> </w:t>
      </w:r>
    </w:p>
    <w:sectPr w:rsidR="00DD0B8D">
      <w:footerReference w:type="even" r:id="rId8"/>
      <w:footerReference w:type="default" r:id="rId9"/>
      <w:footerReference w:type="first" r:id="rId10"/>
      <w:footnotePr>
        <w:numRestart w:val="eachPage"/>
      </w:footnotePr>
      <w:pgSz w:w="11906" w:h="16841"/>
      <w:pgMar w:top="1138" w:right="781" w:bottom="1133" w:left="1419"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6B91" w14:textId="77777777" w:rsidR="00E002EC" w:rsidRDefault="00D47DEA">
      <w:pPr>
        <w:spacing w:after="0" w:line="240" w:lineRule="auto"/>
      </w:pPr>
      <w:r>
        <w:separator/>
      </w:r>
    </w:p>
  </w:endnote>
  <w:endnote w:type="continuationSeparator" w:id="0">
    <w:p w14:paraId="79F87024" w14:textId="77777777" w:rsidR="00E002EC" w:rsidRDefault="00D4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04EB" w14:textId="77777777" w:rsidR="00DD0B8D" w:rsidRDefault="00D47DEA">
    <w:pPr>
      <w:spacing w:after="0" w:line="259" w:lineRule="auto"/>
      <w:ind w:right="6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913A50E" w14:textId="77777777" w:rsidR="00DD0B8D" w:rsidRDefault="00D47DEA">
    <w:pPr>
      <w:spacing w:after="0" w:line="259" w:lineRule="auto"/>
      <w:ind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CDCF" w14:textId="2F42A3AF" w:rsidR="00DD0B8D" w:rsidRDefault="00D47DEA">
    <w:pPr>
      <w:spacing w:after="0" w:line="259" w:lineRule="auto"/>
      <w:ind w:right="66" w:firstLine="0"/>
      <w:jc w:val="right"/>
    </w:pPr>
    <w:r>
      <w:fldChar w:fldCharType="begin"/>
    </w:r>
    <w:r>
      <w:instrText xml:space="preserve"> PAGE   \* MERGEFORMAT </w:instrText>
    </w:r>
    <w:r>
      <w:fldChar w:fldCharType="separate"/>
    </w:r>
    <w:r w:rsidR="0012140E" w:rsidRPr="0012140E">
      <w:rPr>
        <w:noProof/>
        <w:sz w:val="22"/>
      </w:rPr>
      <w:t>11</w:t>
    </w:r>
    <w:r>
      <w:rPr>
        <w:sz w:val="22"/>
      </w:rPr>
      <w:fldChar w:fldCharType="end"/>
    </w:r>
    <w:r>
      <w:rPr>
        <w:sz w:val="22"/>
      </w:rPr>
      <w:t xml:space="preserve"> </w:t>
    </w:r>
  </w:p>
  <w:p w14:paraId="00D42BD6" w14:textId="77777777" w:rsidR="00DD0B8D" w:rsidRDefault="00D47DEA">
    <w:pPr>
      <w:spacing w:after="0" w:line="259" w:lineRule="auto"/>
      <w:ind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033B" w14:textId="77777777" w:rsidR="00DD0B8D" w:rsidRDefault="00D47DEA">
    <w:pPr>
      <w:spacing w:after="0" w:line="259" w:lineRule="auto"/>
      <w:ind w:right="66"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D77F7A1" w14:textId="77777777" w:rsidR="00DD0B8D" w:rsidRDefault="00D47DEA">
    <w:pPr>
      <w:spacing w:after="0" w:line="259" w:lineRule="auto"/>
      <w:ind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B04D" w14:textId="77777777" w:rsidR="00DD0B8D" w:rsidRDefault="00D47DEA">
      <w:pPr>
        <w:spacing w:after="0" w:line="289" w:lineRule="auto"/>
        <w:ind w:right="0" w:firstLine="0"/>
        <w:jc w:val="left"/>
      </w:pPr>
      <w:r>
        <w:separator/>
      </w:r>
    </w:p>
  </w:footnote>
  <w:footnote w:type="continuationSeparator" w:id="0">
    <w:p w14:paraId="0F13C4D4" w14:textId="77777777" w:rsidR="00DD0B8D" w:rsidRDefault="00D47DEA">
      <w:pPr>
        <w:spacing w:after="0" w:line="289" w:lineRule="auto"/>
        <w:ind w:right="0" w:firstLine="0"/>
        <w:jc w:val="left"/>
      </w:pPr>
      <w:r>
        <w:continuationSeparator/>
      </w:r>
    </w:p>
  </w:footnote>
  <w:footnote w:id="1">
    <w:p w14:paraId="4D70D336" w14:textId="77777777" w:rsidR="005C5D01" w:rsidRDefault="005C5D01" w:rsidP="005C5D01">
      <w:pPr>
        <w:pStyle w:val="footnotedescription"/>
        <w:spacing w:after="134"/>
        <w:rPr>
          <w:sz w:val="22"/>
        </w:rPr>
      </w:pPr>
      <w:r>
        <w:rPr>
          <w:rStyle w:val="footnotemark"/>
        </w:rPr>
        <w:footnoteRef/>
      </w:r>
      <w:r>
        <w:t xml:space="preserve"> Здесь к юридическим лицам не относятся инвестиционные и финансовые компании, страховые организации, биржи, депозитарии и банки</w:t>
      </w:r>
      <w:r>
        <w:rPr>
          <w:sz w:val="22"/>
        </w:rPr>
        <w:t xml:space="preserve"> </w:t>
      </w:r>
    </w:p>
    <w:p w14:paraId="7C639ADA" w14:textId="77777777" w:rsidR="005C5D01" w:rsidRPr="004A0D5E" w:rsidRDefault="005C5D01" w:rsidP="005C5D01">
      <w:pPr>
        <w:ind w:firstLine="0"/>
        <w:rPr>
          <w:sz w:val="18"/>
          <w:szCs w:val="16"/>
        </w:rPr>
      </w:pPr>
      <w:r w:rsidRPr="004A0D5E">
        <w:rPr>
          <w:sz w:val="18"/>
          <w:szCs w:val="16"/>
          <w:vertAlign w:val="superscript"/>
        </w:rPr>
        <w:t>2</w:t>
      </w:r>
      <w:r w:rsidRPr="004A0D5E">
        <w:rPr>
          <w:sz w:val="18"/>
          <w:szCs w:val="16"/>
        </w:rPr>
        <w:t xml:space="preserve"> Международные организации, соответствующие критерию оценки устойчивости финансового положения кредитных организаций, установленному Наблюдательным советом Фонда "долгосрочный рейтинг в национальной и/или иностранной валюте, присвоенный одним из международных рейтинговых агентств", независимые гарантии (поручительства) которых принимаются в соответствии с решением Наблюдательного совета</w:t>
      </w:r>
    </w:p>
  </w:footnote>
  <w:footnote w:id="2">
    <w:p w14:paraId="5BAB6A45" w14:textId="77777777" w:rsidR="005C5D01" w:rsidRDefault="005C5D01" w:rsidP="00B216DD">
      <w:pPr>
        <w:pStyle w:val="footnotedescription"/>
      </w:pPr>
      <w:r>
        <w:rPr>
          <w:rStyle w:val="footnotemark"/>
        </w:rPr>
        <w:footnoteRef/>
      </w:r>
      <w:r>
        <w:t xml:space="preserve"> В соответствии с требованием Федерального закона № 172-ФЗ "О внесении изменений в отдельные законодательные акты Российской </w:t>
      </w:r>
    </w:p>
    <w:p w14:paraId="5A18BF58" w14:textId="77777777" w:rsidR="005C5D01" w:rsidRDefault="005C5D01" w:rsidP="00B216DD">
      <w:pPr>
        <w:pStyle w:val="footnotedescription"/>
        <w:jc w:val="left"/>
      </w:pPr>
      <w:r>
        <w:t xml:space="preserve">Федерации" (статья 9, п.4) </w:t>
      </w:r>
      <w:r>
        <w:rPr>
          <w:sz w:val="20"/>
        </w:rPr>
        <w:t xml:space="preserve"> </w:t>
      </w:r>
    </w:p>
  </w:footnote>
  <w:footnote w:id="3">
    <w:p w14:paraId="6176063F" w14:textId="77777777" w:rsidR="00B216DD" w:rsidRPr="00B701D0" w:rsidRDefault="00B216DD" w:rsidP="00B216DD">
      <w:pPr>
        <w:pStyle w:val="a3"/>
        <w:rPr>
          <w:rFonts w:ascii="Arial Narrow" w:hAnsi="Arial Narrow"/>
          <w:sz w:val="18"/>
          <w:szCs w:val="18"/>
        </w:rPr>
      </w:pPr>
      <w:r>
        <w:rPr>
          <w:rStyle w:val="a5"/>
        </w:rPr>
        <w:footnoteRef/>
      </w:r>
      <w:r>
        <w:t xml:space="preserve"> </w:t>
      </w:r>
      <w:r w:rsidRPr="00B701D0">
        <w:rPr>
          <w:rFonts w:ascii="Arial Narrow" w:hAnsi="Arial Narrow"/>
          <w:sz w:val="18"/>
          <w:szCs w:val="18"/>
        </w:rPr>
        <w:t>Показатель Чистый долг/EBITDA рассчитывается в соответствии со следующей формулой: (долгосрочные кредиты и займы + краткосрочные кредиты и займы - денежные средства и денежные эквиваленты) / (прибыль до налогообложения без учета разовых (чрезвычайных) доходов и расходов за прошедшие 4 квартала + проценты к уплате за прошедшие 4 квартала – проценты к получению за последние 4 квартала + амортизация за прошедшие 4 квартала).</w:t>
      </w:r>
    </w:p>
  </w:footnote>
  <w:footnote w:id="4">
    <w:p w14:paraId="07DA91AE" w14:textId="77777777" w:rsidR="00B216DD" w:rsidRDefault="00B216DD" w:rsidP="00B216DD">
      <w:pPr>
        <w:pStyle w:val="a3"/>
      </w:pPr>
      <w:r>
        <w:rPr>
          <w:rStyle w:val="a5"/>
        </w:rPr>
        <w:footnoteRef/>
      </w:r>
      <w:r>
        <w:t xml:space="preserve"> </w:t>
      </w:r>
      <w:r w:rsidRPr="00506178">
        <w:rPr>
          <w:rFonts w:ascii="Arial Narrow" w:hAnsi="Arial Narrow"/>
          <w:sz w:val="18"/>
          <w:szCs w:val="18"/>
        </w:rPr>
        <w:t xml:space="preserve">Не распространяется на организации, </w:t>
      </w:r>
      <w:r>
        <w:rPr>
          <w:rFonts w:ascii="Arial Narrow" w:hAnsi="Arial Narrow"/>
          <w:sz w:val="18"/>
          <w:szCs w:val="18"/>
        </w:rPr>
        <w:t>включенные в Сводный реестр организаций оборонно-промышленного комплекса (в том числе на дочерние общества таких организаций).</w:t>
      </w:r>
    </w:p>
  </w:footnote>
  <w:footnote w:id="5">
    <w:p w14:paraId="67137E2D" w14:textId="77777777" w:rsidR="00B216DD" w:rsidRPr="002F16BA" w:rsidRDefault="00B216DD" w:rsidP="00B216DD">
      <w:pPr>
        <w:pStyle w:val="a3"/>
        <w:rPr>
          <w:rFonts w:ascii="Arial Narrow" w:hAnsi="Arial Narrow"/>
          <w:sz w:val="18"/>
          <w:szCs w:val="18"/>
        </w:rPr>
      </w:pPr>
      <w:r w:rsidRPr="00CD48E3">
        <w:rPr>
          <w:rStyle w:val="a5"/>
        </w:rPr>
        <w:footnoteRef/>
      </w:r>
      <w:r w:rsidRPr="00CD48E3">
        <w:t xml:space="preserve"> </w:t>
      </w:r>
      <w:r w:rsidRPr="00CD48E3">
        <w:rPr>
          <w:rFonts w:ascii="Arial Narrow" w:hAnsi="Arial Narrow"/>
          <w:sz w:val="18"/>
          <w:szCs w:val="18"/>
        </w:rPr>
        <w:t>Данный критерий является обязательным при наступлении срока, установленного действующим законодательством для проведения обязательного аудита. До указанного срока в случае отсутствия аудиторского заключения за последний завершённый финансовый год представляется аудиторское заключение по бухгалтерской отчетности за предшествующий год (если обязательный аудит в предшествующем году был предусмотрен законодательством).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99"/>
    <w:multiLevelType w:val="hybridMultilevel"/>
    <w:tmpl w:val="B18CFBE2"/>
    <w:lvl w:ilvl="0" w:tplc="06844B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4FD18B6"/>
    <w:multiLevelType w:val="hybridMultilevel"/>
    <w:tmpl w:val="8092D76C"/>
    <w:lvl w:ilvl="0" w:tplc="D0DC05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A8EDE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C206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F8366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2470F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1CFFF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9AAB0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89DD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307B7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0F5A6F"/>
    <w:multiLevelType w:val="hybridMultilevel"/>
    <w:tmpl w:val="2522EDF4"/>
    <w:lvl w:ilvl="0" w:tplc="4EFA283E">
      <w:start w:val="2"/>
      <w:numFmt w:val="decimal"/>
      <w:lvlText w:val="%1."/>
      <w:lvlJc w:val="left"/>
      <w:pPr>
        <w:ind w:left="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40DCBC">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A6558C">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6C138">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DA45CA">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94EEFE">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42B076">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A43BA">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60D978">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83B17"/>
    <w:multiLevelType w:val="multilevel"/>
    <w:tmpl w:val="4EDEEE0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6189F"/>
    <w:multiLevelType w:val="hybridMultilevel"/>
    <w:tmpl w:val="5CC8007C"/>
    <w:lvl w:ilvl="0" w:tplc="E954016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56C44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E9F8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D0820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E3AA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AEEE7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22EBD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EE10B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44C10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5E7EBD"/>
    <w:multiLevelType w:val="hybridMultilevel"/>
    <w:tmpl w:val="E6F010BA"/>
    <w:lvl w:ilvl="0" w:tplc="2870B6D6">
      <w:start w:val="1"/>
      <w:numFmt w:val="bullet"/>
      <w:lvlText w:val=""/>
      <w:lvlJc w:val="left"/>
      <w:pPr>
        <w:ind w:left="103" w:hanging="305"/>
      </w:pPr>
      <w:rPr>
        <w:rFonts w:ascii="Symbol" w:eastAsia="Symbol" w:hAnsi="Symbol" w:cs="Symbol" w:hint="default"/>
        <w:w w:val="100"/>
        <w:sz w:val="24"/>
        <w:szCs w:val="24"/>
      </w:rPr>
    </w:lvl>
    <w:lvl w:ilvl="1" w:tplc="E66AF15A">
      <w:start w:val="1"/>
      <w:numFmt w:val="bullet"/>
      <w:lvlText w:val="•"/>
      <w:lvlJc w:val="left"/>
      <w:pPr>
        <w:ind w:left="843" w:hanging="305"/>
      </w:pPr>
      <w:rPr>
        <w:rFonts w:hint="default"/>
      </w:rPr>
    </w:lvl>
    <w:lvl w:ilvl="2" w:tplc="B1104FEA">
      <w:start w:val="1"/>
      <w:numFmt w:val="bullet"/>
      <w:lvlText w:val="•"/>
      <w:lvlJc w:val="left"/>
      <w:pPr>
        <w:ind w:left="1586" w:hanging="305"/>
      </w:pPr>
      <w:rPr>
        <w:rFonts w:hint="default"/>
      </w:rPr>
    </w:lvl>
    <w:lvl w:ilvl="3" w:tplc="38B4E234">
      <w:start w:val="1"/>
      <w:numFmt w:val="bullet"/>
      <w:lvlText w:val="•"/>
      <w:lvlJc w:val="left"/>
      <w:pPr>
        <w:ind w:left="2329" w:hanging="305"/>
      </w:pPr>
      <w:rPr>
        <w:rFonts w:hint="default"/>
      </w:rPr>
    </w:lvl>
    <w:lvl w:ilvl="4" w:tplc="6974E8AC">
      <w:start w:val="1"/>
      <w:numFmt w:val="bullet"/>
      <w:lvlText w:val="•"/>
      <w:lvlJc w:val="left"/>
      <w:pPr>
        <w:ind w:left="3072" w:hanging="305"/>
      </w:pPr>
      <w:rPr>
        <w:rFonts w:hint="default"/>
      </w:rPr>
    </w:lvl>
    <w:lvl w:ilvl="5" w:tplc="AB5EDDC2">
      <w:start w:val="1"/>
      <w:numFmt w:val="bullet"/>
      <w:lvlText w:val="•"/>
      <w:lvlJc w:val="left"/>
      <w:pPr>
        <w:ind w:left="3815" w:hanging="305"/>
      </w:pPr>
      <w:rPr>
        <w:rFonts w:hint="default"/>
      </w:rPr>
    </w:lvl>
    <w:lvl w:ilvl="6" w:tplc="0234EE12">
      <w:start w:val="1"/>
      <w:numFmt w:val="bullet"/>
      <w:lvlText w:val="•"/>
      <w:lvlJc w:val="left"/>
      <w:pPr>
        <w:ind w:left="4558" w:hanging="305"/>
      </w:pPr>
      <w:rPr>
        <w:rFonts w:hint="default"/>
      </w:rPr>
    </w:lvl>
    <w:lvl w:ilvl="7" w:tplc="DC8447F0">
      <w:start w:val="1"/>
      <w:numFmt w:val="bullet"/>
      <w:lvlText w:val="•"/>
      <w:lvlJc w:val="left"/>
      <w:pPr>
        <w:ind w:left="5301" w:hanging="305"/>
      </w:pPr>
      <w:rPr>
        <w:rFonts w:hint="default"/>
      </w:rPr>
    </w:lvl>
    <w:lvl w:ilvl="8" w:tplc="3FF8A064">
      <w:start w:val="1"/>
      <w:numFmt w:val="bullet"/>
      <w:lvlText w:val="•"/>
      <w:lvlJc w:val="left"/>
      <w:pPr>
        <w:ind w:left="6044" w:hanging="305"/>
      </w:pPr>
      <w:rPr>
        <w:rFonts w:hint="default"/>
      </w:rPr>
    </w:lvl>
  </w:abstractNum>
  <w:abstractNum w:abstractNumId="6" w15:restartNumberingAfterBreak="0">
    <w:nsid w:val="18A07136"/>
    <w:multiLevelType w:val="hybridMultilevel"/>
    <w:tmpl w:val="0DDADB82"/>
    <w:lvl w:ilvl="0" w:tplc="867811B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0E689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9E585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A4A8E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9422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10B35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AA32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0DB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8293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7818F8"/>
    <w:multiLevelType w:val="multilevel"/>
    <w:tmpl w:val="4E10117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723D17"/>
    <w:multiLevelType w:val="hybridMultilevel"/>
    <w:tmpl w:val="98A0ACF4"/>
    <w:lvl w:ilvl="0" w:tplc="BA6A1168">
      <w:start w:val="3"/>
      <w:numFmt w:val="decimal"/>
      <w:pStyle w:val="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2CA5B5A">
      <w:start w:val="1"/>
      <w:numFmt w:val="lowerLetter"/>
      <w:lvlText w:val="%2"/>
      <w:lvlJc w:val="left"/>
      <w:pPr>
        <w:ind w:left="179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DD2253A">
      <w:start w:val="1"/>
      <w:numFmt w:val="lowerRoman"/>
      <w:lvlText w:val="%3"/>
      <w:lvlJc w:val="left"/>
      <w:pPr>
        <w:ind w:left="25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CF88D62">
      <w:start w:val="1"/>
      <w:numFmt w:val="decimal"/>
      <w:lvlText w:val="%4"/>
      <w:lvlJc w:val="left"/>
      <w:pPr>
        <w:ind w:left="32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9045518">
      <w:start w:val="1"/>
      <w:numFmt w:val="lowerLetter"/>
      <w:lvlText w:val="%5"/>
      <w:lvlJc w:val="left"/>
      <w:pPr>
        <w:ind w:left="39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4E4A304">
      <w:start w:val="1"/>
      <w:numFmt w:val="lowerRoman"/>
      <w:lvlText w:val="%6"/>
      <w:lvlJc w:val="left"/>
      <w:pPr>
        <w:ind w:left="467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62A0108C">
      <w:start w:val="1"/>
      <w:numFmt w:val="decimal"/>
      <w:lvlText w:val="%7"/>
      <w:lvlJc w:val="left"/>
      <w:pPr>
        <w:ind w:left="539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4D4232E">
      <w:start w:val="1"/>
      <w:numFmt w:val="lowerLetter"/>
      <w:lvlText w:val="%8"/>
      <w:lvlJc w:val="left"/>
      <w:pPr>
        <w:ind w:left="61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43C653A">
      <w:start w:val="1"/>
      <w:numFmt w:val="lowerRoman"/>
      <w:lvlText w:val="%9"/>
      <w:lvlJc w:val="left"/>
      <w:pPr>
        <w:ind w:left="68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356DC2"/>
    <w:multiLevelType w:val="hybridMultilevel"/>
    <w:tmpl w:val="F0208278"/>
    <w:lvl w:ilvl="0" w:tplc="A16895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897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28ED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88E3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8B6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502A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BA15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0A4E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4CF7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372020"/>
    <w:multiLevelType w:val="hybridMultilevel"/>
    <w:tmpl w:val="2A30FD32"/>
    <w:lvl w:ilvl="0" w:tplc="203CF716">
      <w:start w:val="4"/>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A8AA64">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FCAB80">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EC6CDC">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CCE270">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4266B2">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1C3658">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2F018">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144BC6">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775DC9"/>
    <w:multiLevelType w:val="multilevel"/>
    <w:tmpl w:val="7262799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9575F2"/>
    <w:multiLevelType w:val="hybridMultilevel"/>
    <w:tmpl w:val="1F764EF6"/>
    <w:lvl w:ilvl="0" w:tplc="ADC85EB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4826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AE4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0233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B2A1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9CF0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6C0C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B431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76BD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D57DC3"/>
    <w:multiLevelType w:val="hybridMultilevel"/>
    <w:tmpl w:val="F8C2ECA2"/>
    <w:lvl w:ilvl="0" w:tplc="C7B02C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70BCA6">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1EC646">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C3DA2">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98CC5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50B7C4">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E4791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62206">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E08542">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2F3F1E"/>
    <w:multiLevelType w:val="hybridMultilevel"/>
    <w:tmpl w:val="45566D02"/>
    <w:lvl w:ilvl="0" w:tplc="444A29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7C70D8">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C8A3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FA723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D66BE2">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6A6F24">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F239A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EE626">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F0EB96">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E255D6"/>
    <w:multiLevelType w:val="hybridMultilevel"/>
    <w:tmpl w:val="960255FC"/>
    <w:lvl w:ilvl="0" w:tplc="1250E46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EE5DC4">
      <w:start w:val="1"/>
      <w:numFmt w:val="bullet"/>
      <w:lvlText w:val="o"/>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BA5DCC">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6EC168">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01C0C">
      <w:start w:val="1"/>
      <w:numFmt w:val="bullet"/>
      <w:lvlText w:val="o"/>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5C8142">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BAAAD8">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C6AAC">
      <w:start w:val="1"/>
      <w:numFmt w:val="bullet"/>
      <w:lvlText w:val="o"/>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D4E05E">
      <w:start w:val="1"/>
      <w:numFmt w:val="bullet"/>
      <w:lvlText w:val="▪"/>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124CE4"/>
    <w:multiLevelType w:val="hybridMultilevel"/>
    <w:tmpl w:val="348EB822"/>
    <w:lvl w:ilvl="0" w:tplc="8FC4C9F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0D29A">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628BC0">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5E654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E6673A">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7CA816">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BAE8E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50F81A">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E4BF02">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D862E1B"/>
    <w:multiLevelType w:val="hybridMultilevel"/>
    <w:tmpl w:val="02A0F1B8"/>
    <w:lvl w:ilvl="0" w:tplc="D8D03E7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309F0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FE736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389F1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B278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A6D16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CC466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6272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58CE8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ED032C"/>
    <w:multiLevelType w:val="multilevel"/>
    <w:tmpl w:val="C6149724"/>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7D4562"/>
    <w:multiLevelType w:val="multilevel"/>
    <w:tmpl w:val="1338CA52"/>
    <w:lvl w:ilvl="0">
      <w:start w:val="2"/>
      <w:numFmt w:val="decimal"/>
      <w:lvlText w:val="%1."/>
      <w:lvlJc w:val="left"/>
      <w:pPr>
        <w:ind w:left="100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FF0966"/>
    <w:multiLevelType w:val="hybridMultilevel"/>
    <w:tmpl w:val="73CCD5F0"/>
    <w:lvl w:ilvl="0" w:tplc="D88AB31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DA1AC8">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A662D2">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4072A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2D14E">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AE59D0">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9AFFD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26F96E">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D65CAE">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5A2983"/>
    <w:multiLevelType w:val="hybridMultilevel"/>
    <w:tmpl w:val="705607D4"/>
    <w:lvl w:ilvl="0" w:tplc="910627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A20D2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2AB8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EE35F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BCCFA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78BB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9295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A60C8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A2683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4379F5"/>
    <w:multiLevelType w:val="hybridMultilevel"/>
    <w:tmpl w:val="E7789AB6"/>
    <w:lvl w:ilvl="0" w:tplc="D550E01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7AA106">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BE85AE">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9E4662">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E0006">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96865A">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00194E">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A046B4">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E63AB6">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C13440F"/>
    <w:multiLevelType w:val="hybridMultilevel"/>
    <w:tmpl w:val="837A683C"/>
    <w:lvl w:ilvl="0" w:tplc="3E9691A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06B91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F4368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2AD4E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7A76C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42189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7CF5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EA6340">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D87E70">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9"/>
  </w:num>
  <w:num w:numId="3">
    <w:abstractNumId w:val="9"/>
  </w:num>
  <w:num w:numId="4">
    <w:abstractNumId w:val="15"/>
  </w:num>
  <w:num w:numId="5">
    <w:abstractNumId w:val="3"/>
  </w:num>
  <w:num w:numId="6">
    <w:abstractNumId w:val="23"/>
  </w:num>
  <w:num w:numId="7">
    <w:abstractNumId w:val="1"/>
  </w:num>
  <w:num w:numId="8">
    <w:abstractNumId w:val="21"/>
  </w:num>
  <w:num w:numId="9">
    <w:abstractNumId w:val="7"/>
  </w:num>
  <w:num w:numId="10">
    <w:abstractNumId w:val="11"/>
  </w:num>
  <w:num w:numId="11">
    <w:abstractNumId w:val="13"/>
  </w:num>
  <w:num w:numId="12">
    <w:abstractNumId w:val="18"/>
  </w:num>
  <w:num w:numId="13">
    <w:abstractNumId w:val="22"/>
  </w:num>
  <w:num w:numId="14">
    <w:abstractNumId w:val="17"/>
  </w:num>
  <w:num w:numId="15">
    <w:abstractNumId w:val="4"/>
  </w:num>
  <w:num w:numId="16">
    <w:abstractNumId w:val="16"/>
  </w:num>
  <w:num w:numId="17">
    <w:abstractNumId w:val="6"/>
  </w:num>
  <w:num w:numId="18">
    <w:abstractNumId w:val="20"/>
  </w:num>
  <w:num w:numId="19">
    <w:abstractNumId w:val="2"/>
  </w:num>
  <w:num w:numId="20">
    <w:abstractNumId w:val="14"/>
  </w:num>
  <w:num w:numId="21">
    <w:abstractNumId w:val="10"/>
  </w:num>
  <w:num w:numId="22">
    <w:abstractNumId w:val="8"/>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8D"/>
    <w:rsid w:val="000F7EB2"/>
    <w:rsid w:val="0012140E"/>
    <w:rsid w:val="0012492D"/>
    <w:rsid w:val="00193201"/>
    <w:rsid w:val="002C68FD"/>
    <w:rsid w:val="00302022"/>
    <w:rsid w:val="004A0D5E"/>
    <w:rsid w:val="004B3E2B"/>
    <w:rsid w:val="00554662"/>
    <w:rsid w:val="005C5D01"/>
    <w:rsid w:val="007A1A2C"/>
    <w:rsid w:val="0080036B"/>
    <w:rsid w:val="008D43FE"/>
    <w:rsid w:val="00981548"/>
    <w:rsid w:val="00B216DD"/>
    <w:rsid w:val="00C81D18"/>
    <w:rsid w:val="00C8692E"/>
    <w:rsid w:val="00CE4244"/>
    <w:rsid w:val="00D47DEA"/>
    <w:rsid w:val="00DD0B8D"/>
    <w:rsid w:val="00E002EC"/>
    <w:rsid w:val="00F5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4E0F"/>
  <w15:docId w15:val="{580E57EB-26D0-4657-A06A-5FEEBFEC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1" w:line="303" w:lineRule="auto"/>
      <w:ind w:right="65" w:firstLine="710"/>
      <w:jc w:val="both"/>
    </w:pPr>
    <w:rPr>
      <w:rFonts w:ascii="Arial" w:eastAsia="Arial" w:hAnsi="Arial" w:cs="Arial"/>
      <w:color w:val="000000"/>
      <w:sz w:val="24"/>
    </w:rPr>
  </w:style>
  <w:style w:type="paragraph" w:styleId="1">
    <w:name w:val="heading 1"/>
    <w:next w:val="a"/>
    <w:link w:val="10"/>
    <w:uiPriority w:val="9"/>
    <w:qFormat/>
    <w:pPr>
      <w:keepNext/>
      <w:keepLines/>
      <w:numPr>
        <w:numId w:val="22"/>
      </w:numPr>
      <w:spacing w:after="143"/>
      <w:ind w:left="1155" w:hanging="10"/>
      <w:outlineLvl w:val="0"/>
    </w:pPr>
    <w:rPr>
      <w:rFonts w:ascii="Arial" w:eastAsia="Arial" w:hAnsi="Arial" w:cs="Arial"/>
      <w:b/>
      <w:color w:val="000000"/>
      <w:sz w:val="28"/>
    </w:rPr>
  </w:style>
  <w:style w:type="paragraph" w:styleId="2">
    <w:name w:val="heading 2"/>
    <w:next w:val="a"/>
    <w:link w:val="20"/>
    <w:uiPriority w:val="9"/>
    <w:unhideWhenUsed/>
    <w:qFormat/>
    <w:pPr>
      <w:keepNext/>
      <w:keepLines/>
      <w:spacing w:after="49" w:line="268" w:lineRule="auto"/>
      <w:ind w:left="4336" w:hanging="10"/>
      <w:outlineLvl w:val="1"/>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4"/>
    </w:rPr>
  </w:style>
  <w:style w:type="character" w:customStyle="1" w:styleId="10">
    <w:name w:val="Заголовок 1 Знак"/>
    <w:link w:val="1"/>
    <w:rPr>
      <w:rFonts w:ascii="Arial" w:eastAsia="Arial" w:hAnsi="Arial" w:cs="Arial"/>
      <w:b/>
      <w:color w:val="000000"/>
      <w:sz w:val="28"/>
    </w:rPr>
  </w:style>
  <w:style w:type="paragraph" w:customStyle="1" w:styleId="footnotedescription">
    <w:name w:val="footnote description"/>
    <w:next w:val="a"/>
    <w:link w:val="footnotedescriptionChar"/>
    <w:hidden/>
    <w:pPr>
      <w:spacing w:after="0"/>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note text"/>
    <w:basedOn w:val="a"/>
    <w:link w:val="a4"/>
    <w:semiHidden/>
    <w:unhideWhenUsed/>
    <w:rsid w:val="00B216DD"/>
    <w:pPr>
      <w:spacing w:after="0" w:line="240" w:lineRule="auto"/>
      <w:ind w:right="0" w:firstLine="0"/>
    </w:pPr>
    <w:rPr>
      <w:rFonts w:asciiTheme="minorHAnsi" w:eastAsiaTheme="minorHAnsi" w:hAnsiTheme="minorHAnsi" w:cstheme="minorBidi"/>
      <w:color w:val="auto"/>
      <w:sz w:val="20"/>
      <w:szCs w:val="20"/>
      <w:lang w:eastAsia="en-US"/>
    </w:rPr>
  </w:style>
  <w:style w:type="character" w:customStyle="1" w:styleId="a4">
    <w:name w:val="Текст сноски Знак"/>
    <w:basedOn w:val="a0"/>
    <w:link w:val="a3"/>
    <w:semiHidden/>
    <w:rsid w:val="00B216DD"/>
    <w:rPr>
      <w:rFonts w:eastAsiaTheme="minorHAnsi"/>
      <w:sz w:val="20"/>
      <w:szCs w:val="20"/>
      <w:lang w:eastAsia="en-US"/>
    </w:rPr>
  </w:style>
  <w:style w:type="character" w:styleId="a5">
    <w:name w:val="footnote reference"/>
    <w:basedOn w:val="a0"/>
    <w:semiHidden/>
    <w:rsid w:val="00B216DD"/>
    <w:rPr>
      <w:rFonts w:cs="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1DDD-561C-4821-B7A2-590C8EC7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2560</Words>
  <Characters>14597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Эксперт</cp:lastModifiedBy>
  <cp:revision>2</cp:revision>
  <dcterms:created xsi:type="dcterms:W3CDTF">2023-04-11T08:28:00Z</dcterms:created>
  <dcterms:modified xsi:type="dcterms:W3CDTF">2023-04-11T08:28:00Z</dcterms:modified>
</cp:coreProperties>
</file>